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2.png" ContentType="image/png"/>
  <Override PartName="/word/media/rId47.png" ContentType="image/png"/>
  <Override PartName="/word/media/rId41.png" ContentType="image/png"/>
  <Override PartName="/word/media/rId49.png" ContentType="image/png"/>
  <Override PartName="/word/media/rId29.pdf" ContentType="application/pdf"/>
  <Override PartName="/word/media/rId40.png" ContentType="image/png"/>
  <Override PartName="/word/media/rId36.png" ContentType="image/png"/>
  <Override PartName="/word/media/rId45.png" ContentType="image/png"/>
  <Override PartName="/word/media/rId51.png" ContentType="image/png"/>
  <Override PartName="/word/media/rId43.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Titulo</w:t>
      </w:r>
      <w:r>
        <w:t xml:space="preserve"> </w:t>
      </w:r>
      <w:r>
        <w:t xml:space="preserve">de</w:t>
      </w:r>
      <w:r>
        <w:t xml:space="preserve"> </w:t>
      </w:r>
      <w:r>
        <w:t xml:space="preserve">Tese</w:t>
      </w:r>
    </w:p>
    <w:bookmarkStart w:id="55" w:name="X825f722398abe1ed63c0d68b1ad1655196b03fa"/>
    <w:p>
      <w:pPr>
        <w:pStyle w:val="Heading1"/>
      </w:pPr>
      <w:r>
        <w:rPr>
          <w:rStyle w:val="SectionNumber"/>
        </w:rPr>
        <w:t xml:space="preserve">1</w:t>
      </w:r>
      <w:r>
        <w:tab/>
      </w:r>
      <w:r>
        <w:t xml:space="preserve">Hidden Markov Models reveals annual changes in the daily activity levels of the Anillaco Tuco-tuco (</w:t>
      </w:r>
      <w:r>
        <w:rPr>
          <w:iCs/>
          <w:i/>
        </w:rPr>
        <w:t xml:space="preserve">Ctenomys sp.</w:t>
      </w:r>
      <w:r>
        <w:t xml:space="preserve">)</w:t>
      </w:r>
    </w:p>
    <w:bookmarkStart w:id="20" w:name="introduction"/>
    <w:p>
      <w:pPr>
        <w:pStyle w:val="Heading2"/>
      </w:pPr>
      <w:r>
        <w:rPr>
          <w:rStyle w:val="SectionNumber"/>
        </w:rPr>
        <w:t xml:space="preserve">1.1</w:t>
      </w:r>
      <w:r>
        <w:tab/>
      </w:r>
      <w:r>
        <w:t xml:space="preserve">Introduction</w:t>
      </w:r>
    </w:p>
    <w:p>
      <w:pPr>
        <w:numPr>
          <w:ilvl w:val="0"/>
          <w:numId w:val="1001"/>
        </w:numPr>
        <w:pStyle w:val="Compact"/>
      </w:pPr>
      <w:r>
        <w:t xml:space="preserve">Contexto:</w:t>
      </w:r>
    </w:p>
    <w:p>
      <w:pPr>
        <w:numPr>
          <w:ilvl w:val="0"/>
          <w:numId w:val="1001"/>
        </w:numPr>
        <w:pStyle w:val="Compact"/>
      </w:pPr>
      <w:r>
        <w:t xml:space="preserve">Síntese do conhecimento:O que se sabe sobe o tema central?</w:t>
      </w:r>
    </w:p>
    <w:p>
      <w:pPr>
        <w:numPr>
          <w:ilvl w:val="0"/>
          <w:numId w:val="1001"/>
        </w:numPr>
        <w:pStyle w:val="Compact"/>
      </w:pPr>
      <w:r>
        <w:t xml:space="preserve">Como a questão investigada se encaixa nesse contexto teórico?</w:t>
      </w:r>
    </w:p>
    <w:p>
      <w:pPr>
        <w:numPr>
          <w:ilvl w:val="0"/>
          <w:numId w:val="1001"/>
        </w:numPr>
        <w:pStyle w:val="Compact"/>
      </w:pPr>
      <w:r>
        <w:t xml:space="preserve">Rever anotações</w:t>
      </w:r>
    </w:p>
    <w:p>
      <w:pPr>
        <w:numPr>
          <w:ilvl w:val="0"/>
          <w:numId w:val="1001"/>
        </w:numPr>
        <w:pStyle w:val="Compact"/>
      </w:pPr>
      <w:r>
        <w:t xml:space="preserve">objetivos: - tbm testar a necessidade de classificar para ritmicidade</w:t>
      </w:r>
    </w:p>
    <w:bookmarkEnd w:id="20"/>
    <w:bookmarkStart w:id="35" w:name="methods"/>
    <w:p>
      <w:pPr>
        <w:pStyle w:val="Heading2"/>
      </w:pPr>
      <w:r>
        <w:rPr>
          <w:rStyle w:val="SectionNumber"/>
        </w:rPr>
        <w:t xml:space="preserve">1.2</w:t>
      </w:r>
      <w:r>
        <w:tab/>
      </w:r>
      <w:r>
        <w:t xml:space="preserve">Methods</w:t>
      </w:r>
    </w:p>
    <w:bookmarkStart w:id="21" w:name="study-species"/>
    <w:p>
      <w:pPr>
        <w:pStyle w:val="Heading3"/>
      </w:pPr>
      <w:r>
        <w:rPr>
          <w:rStyle w:val="SectionNumber"/>
        </w:rPr>
        <w:t xml:space="preserve">1.2.1</w:t>
      </w:r>
      <w:r>
        <w:tab/>
      </w:r>
      <w:r>
        <w:t xml:space="preserve">Study Species</w:t>
      </w:r>
    </w:p>
    <w:p>
      <w:pPr>
        <w:pStyle w:val="FirstParagraph"/>
      </w:pPr>
      <w:r>
        <w:t xml:space="preserve">The studied</w:t>
      </w:r>
      <w:r>
        <w:t xml:space="preserve"> </w:t>
      </w:r>
      <w:r>
        <w:rPr>
          <w:iCs/>
          <w:i/>
        </w:rPr>
        <w:t xml:space="preserve">Ctenomys</w:t>
      </w:r>
      <w:r>
        <w:t xml:space="preserve"> </w:t>
      </w:r>
      <w:r>
        <w:t xml:space="preserve">population lacks a formal phylogenetic and taxonomic classification but there are some lines of evidence suggesting that the study area is occupied by a single unidentified species</w:t>
      </w:r>
      <w:r>
        <w:t xml:space="preserve"> </w:t>
      </w:r>
      <w:r>
        <w:t xml:space="preserve">(</w:t>
      </w:r>
      <w:hyperlink w:anchor="ref-amaya2016">
        <w:r>
          <w:rPr>
            <w:rStyle w:val="InternetLink"/>
          </w:rPr>
          <w:t xml:space="preserve">Amaya et al. 2016</w:t>
        </w:r>
      </w:hyperlink>
      <w:r>
        <w:t xml:space="preserve">)</w:t>
      </w:r>
      <w:r>
        <w:t xml:space="preserve">. In other studies, the studied</w:t>
      </w:r>
      <w:r>
        <w:t xml:space="preserve"> </w:t>
      </w:r>
      <w:r>
        <w:rPr>
          <w:iCs/>
          <w:i/>
        </w:rPr>
        <w:t xml:space="preserve">Ctenomys’</w:t>
      </w:r>
      <w:r>
        <w:t xml:space="preserve"> </w:t>
      </w:r>
      <w:r>
        <w:t xml:space="preserve">species has been referred informally as the Anillaco tuco-tuco</w:t>
      </w:r>
      <w:r>
        <w:t xml:space="preserve"> </w:t>
      </w:r>
      <w:r>
        <w:t xml:space="preserve">(</w:t>
      </w:r>
      <w:hyperlink w:anchor="ref-amaya2016">
        <w:r>
          <w:rPr>
            <w:rStyle w:val="InternetLink"/>
          </w:rPr>
          <w:t xml:space="preserve">Amaya et al. 2016</w:t>
        </w:r>
      </w:hyperlink>
      <w:r>
        <w:t xml:space="preserve">)</w:t>
      </w:r>
      <w:r>
        <w:t xml:space="preserve"> </w:t>
      </w:r>
      <w:r>
        <w:t xml:space="preserve">and as</w:t>
      </w:r>
      <w:r>
        <w:t xml:space="preserve"> </w:t>
      </w:r>
      <w:r>
        <w:rPr>
          <w:iCs/>
          <w:i/>
        </w:rPr>
        <w:t xml:space="preserve">Ctenomys</w:t>
      </w:r>
      <w:r>
        <w:t xml:space="preserve"> </w:t>
      </w:r>
      <w:r>
        <w:t xml:space="preserve">aff.</w:t>
      </w:r>
      <w:r>
        <w:t xml:space="preserve"> </w:t>
      </w:r>
      <w:r>
        <w:rPr>
          <w:iCs/>
          <w:i/>
        </w:rPr>
        <w:t xml:space="preserve">knightii</w:t>
      </w:r>
      <w:r>
        <w:t xml:space="preserve"> </w:t>
      </w:r>
      <w:r>
        <w:t xml:space="preserve">(</w:t>
      </w:r>
      <w:hyperlink w:anchor="ref-tomotani2012">
        <w:r>
          <w:rPr>
            <w:rStyle w:val="InternetLink"/>
          </w:rPr>
          <w:t xml:space="preserve">Tomotani et al. 2012</w:t>
        </w:r>
      </w:hyperlink>
      <w:r>
        <w:t xml:space="preserve">)</w:t>
      </w:r>
      <w:r>
        <w:t xml:space="preserve"> </w:t>
      </w:r>
      <w:r>
        <w:t xml:space="preserve">or</w:t>
      </w:r>
      <w:r>
        <w:t xml:space="preserve"> </w:t>
      </w:r>
      <w:r>
        <w:rPr>
          <w:iCs/>
          <w:i/>
        </w:rPr>
        <w:t xml:space="preserve">Ctenomys</w:t>
      </w:r>
      <w:r>
        <w:t xml:space="preserve"> </w:t>
      </w:r>
      <w:r>
        <w:t xml:space="preserve">cf. </w:t>
      </w:r>
      <w:r>
        <w:rPr>
          <w:iCs/>
          <w:i/>
        </w:rPr>
        <w:t xml:space="preserve">knightii</w:t>
      </w:r>
      <w:r>
        <w:t xml:space="preserve"> </w:t>
      </w:r>
      <w:r>
        <w:t xml:space="preserve">(</w:t>
      </w:r>
      <w:hyperlink w:anchor="ref-valentinuzzi2009">
        <w:r>
          <w:rPr>
            <w:rStyle w:val="InternetLink"/>
          </w:rPr>
          <w:t xml:space="preserve">Valentinuzzi et al. 2009</w:t>
        </w:r>
      </w:hyperlink>
      <w:r>
        <w:t xml:space="preserve">)</w:t>
      </w:r>
      <w:r>
        <w:t xml:space="preserve">.</w:t>
      </w:r>
    </w:p>
    <w:bookmarkEnd w:id="21"/>
    <w:bookmarkStart w:id="23" w:name="study-site"/>
    <w:p>
      <w:pPr>
        <w:pStyle w:val="Heading3"/>
      </w:pPr>
      <w:r>
        <w:rPr>
          <w:rStyle w:val="SectionNumber"/>
        </w:rPr>
        <w:t xml:space="preserve">1.2.2</w:t>
      </w:r>
      <w:r>
        <w:tab/>
      </w:r>
      <w:r>
        <w:t xml:space="preserve">Study Site</w:t>
      </w:r>
    </w:p>
    <w:p>
      <w:pPr>
        <w:pStyle w:val="FirstParagraph"/>
      </w:pPr>
      <w:r>
        <w:t xml:space="preserve">Field work was conducted at a site located approximately 5km away from the village of Anillaco, in the province of La Rioja, Northwest Argentina. The study site (-66.95°, -028.80, 1325m; Figure</w:t>
      </w:r>
      <w:r>
        <w:t xml:space="preserve"> </w:t>
      </w:r>
      <w:r>
        <w:t xml:space="preserve">1.1</w:t>
      </w:r>
      <w:r>
        <w:t xml:space="preserve">) is a relatively undisturbed natural area, with little human disturbance and no artificial light source. The area is surrounded by the Sierra de Velasco mountain range, located within the Monte Desert biome. The Monte Desert is characterized as an open shrubland dominated by Zygophyllaceae (</w:t>
      </w:r>
      <w:r>
        <w:rPr>
          <w:iCs/>
          <w:i/>
        </w:rPr>
        <w:t xml:space="preserve">Larrea cuneifolia</w:t>
      </w:r>
      <w:r>
        <w:t xml:space="preserve"> </w:t>
      </w:r>
      <w:r>
        <w:t xml:space="preserve">Cav.,</w:t>
      </w:r>
      <w:r>
        <w:t xml:space="preserve"> </w:t>
      </w:r>
      <w:r>
        <w:rPr>
          <w:iCs/>
          <w:i/>
        </w:rPr>
        <w:t xml:space="preserve">Tricomaria usillo</w:t>
      </w:r>
      <w:r>
        <w:t xml:space="preserve">), Fabaceae (</w:t>
      </w:r>
      <w:r>
        <w:rPr>
          <w:iCs/>
          <w:i/>
        </w:rPr>
        <w:t xml:space="preserve">Prosopis torquata</w:t>
      </w:r>
      <w:r>
        <w:t xml:space="preserve">,</w:t>
      </w:r>
      <w:r>
        <w:t xml:space="preserve"> </w:t>
      </w:r>
      <w:r>
        <w:rPr>
          <w:iCs/>
          <w:i/>
        </w:rPr>
        <w:t xml:space="preserve">Senna aphylla</w:t>
      </w:r>
      <w:r>
        <w:t xml:space="preserve">) and Cactaceae (</w:t>
      </w:r>
      <w:r>
        <w:rPr>
          <w:iCs/>
          <w:i/>
        </w:rPr>
        <w:t xml:space="preserve">Trichocereus</w:t>
      </w:r>
      <w:r>
        <w:t xml:space="preserve"> </w:t>
      </w:r>
      <w:r>
        <w:t xml:space="preserve">spp,</w:t>
      </w:r>
      <w:r>
        <w:t xml:space="preserve"> </w:t>
      </w:r>
      <w:r>
        <w:rPr>
          <w:iCs/>
          <w:i/>
        </w:rPr>
        <w:t xml:space="preserve">Tephrocactus</w:t>
      </w:r>
      <w:r>
        <w:t xml:space="preserve"> </w:t>
      </w:r>
      <w:r>
        <w:t xml:space="preserve">spp)</w:t>
      </w:r>
      <w:r>
        <w:t xml:space="preserve"> </w:t>
      </w:r>
      <w:r>
        <w:t xml:space="preserve">(</w:t>
      </w:r>
      <w:hyperlink w:anchor="ref-abraham2009">
        <w:r>
          <w:rPr>
            <w:rStyle w:val="InternetLink"/>
          </w:rPr>
          <w:t xml:space="preserve">Abraham et al. 2009</w:t>
        </w:r>
      </w:hyperlink>
      <w:r>
        <w:t xml:space="preserve">;</w:t>
      </w:r>
      <w:r>
        <w:t xml:space="preserve"> </w:t>
      </w:r>
      <w:hyperlink w:anchor="ref-fracchia2011">
        <w:r>
          <w:rPr>
            <w:rStyle w:val="InternetLink"/>
          </w:rPr>
          <w:t xml:space="preserve">Fracchia et al. 2011</w:t>
        </w:r>
      </w:hyperlink>
      <w:r>
        <w:t xml:space="preserve">;</w:t>
      </w:r>
      <w:r>
        <w:t xml:space="preserve"> </w:t>
      </w:r>
      <w:hyperlink w:anchor="ref-aranda-rickert2011a">
        <w:r>
          <w:rPr>
            <w:rStyle w:val="InternetLink"/>
          </w:rPr>
          <w:t xml:space="preserve">Aranda-Rickert and Fracchia 2011</w:t>
        </w:r>
      </w:hyperlink>
      <w:r>
        <w:t xml:space="preserve">)</w:t>
      </w:r>
      <w:r>
        <w:t xml:space="preserve">. At the study site a non-extensive survey of the plant community divided in three transects showed a dominance of the families Zygophyllaceae (</w:t>
      </w:r>
      <w:r>
        <w:rPr>
          <w:iCs/>
          <w:i/>
        </w:rPr>
        <w:t xml:space="preserve">Larrea cuneifolia</w:t>
      </w:r>
      <w:r>
        <w:t xml:space="preserve">,</w:t>
      </w:r>
      <w:r>
        <w:t xml:space="preserve"> </w:t>
      </w:r>
      <w:r>
        <w:rPr>
          <w:iCs/>
          <w:i/>
        </w:rPr>
        <w:t xml:space="preserve">Tricomaria usillo</w:t>
      </w:r>
      <w:r>
        <w:t xml:space="preserve">), Poaceae (</w:t>
      </w:r>
      <w:r>
        <w:rPr>
          <w:iCs/>
          <w:i/>
        </w:rPr>
        <w:t xml:space="preserve">Microchloa indica</w:t>
      </w:r>
      <w:r>
        <w:t xml:space="preserve">,</w:t>
      </w:r>
      <w:r>
        <w:t xml:space="preserve"> </w:t>
      </w:r>
      <w:r>
        <w:rPr>
          <w:iCs/>
          <w:i/>
        </w:rPr>
        <w:t xml:space="preserve">Aristida mendocina</w:t>
      </w:r>
      <w:r>
        <w:t xml:space="preserve">) and Fabaceae (</w:t>
      </w:r>
      <w:r>
        <w:rPr>
          <w:iCs/>
          <w:i/>
        </w:rPr>
        <w:t xml:space="preserve">Zuccagnia punctata</w:t>
      </w:r>
      <w:r>
        <w:t xml:space="preserve">) (Figure</w:t>
      </w:r>
      <w:r>
        <w:t xml:space="preserve"> </w:t>
      </w:r>
      <w:r>
        <w:t xml:space="preserve">??</w:t>
      </w:r>
      <w:r>
        <w:t xml:space="preserve">). The climate is arid with marked daily and seasonal cycles in temperature and rainfall (Figure</w:t>
      </w:r>
      <w:r>
        <w:t xml:space="preserve"> </w:t>
      </w:r>
      <w:r>
        <w:t xml:space="preserve">??</w:t>
      </w:r>
      <w:r>
        <w:t xml:space="preserve">). The mean annual temperature is 16.6°C</w:t>
      </w:r>
      <w:r>
        <w:t xml:space="preserve"> </w:t>
      </w:r>
      <w:r>
        <w:t xml:space="preserve">(</w:t>
      </w:r>
      <w:hyperlink w:anchor="ref-fracchia2011">
        <w:r>
          <w:rPr>
            <w:rStyle w:val="InternetLink"/>
          </w:rPr>
          <w:t xml:space="preserve">Fracchia et al. 2011</w:t>
        </w:r>
      </w:hyperlink>
      <w:r>
        <w:t xml:space="preserve">)</w:t>
      </w:r>
      <w:r>
        <w:t xml:space="preserve">, with clear differences in the daily range and between summer and winter months</w:t>
      </w:r>
      <w:r>
        <w:t xml:space="preserve"> </w:t>
      </w:r>
      <w:r>
        <w:t xml:space="preserve">(</w:t>
      </w:r>
      <w:hyperlink w:anchor="ref-abraham2009">
        <w:r>
          <w:rPr>
            <w:rStyle w:val="InternetLink"/>
          </w:rPr>
          <w:t xml:space="preserve">Abraham et al. 2009</w:t>
        </w:r>
      </w:hyperlink>
      <w:r>
        <w:t xml:space="preserve">)</w:t>
      </w:r>
      <w:r>
        <w:t xml:space="preserve">. The mean annual rainfall ranges from 145 to 380mm concentrated almost exclusively in the summer months</w:t>
      </w:r>
      <w:r>
        <w:t xml:space="preserve"> </w:t>
      </w:r>
      <w:r>
        <w:t xml:space="preserve">(</w:t>
      </w:r>
      <w:hyperlink w:anchor="ref-fracchia2011">
        <w:r>
          <w:rPr>
            <w:rStyle w:val="InternetLink"/>
          </w:rPr>
          <w:t xml:space="preserve">Fracchia et al. 2011</w:t>
        </w:r>
      </w:hyperlink>
      <w:r>
        <w:t xml:space="preserve">)</w:t>
      </w:r>
      <w:r>
        <w:t xml:space="preserve">.</w:t>
      </w:r>
    </w:p>
    <w:p>
      <w:pPr>
        <w:pStyle w:val="CaptionedFigure"/>
      </w:pPr>
      <w:r>
        <w:drawing>
          <wp:inline>
            <wp:extent cx="5943600" cy="5943600"/>
            <wp:effectExtent b="0" l="0" r="0" t="0"/>
            <wp:docPr descr="Figure 1.1: Study site location (orange icon) at the Monte Desert, approximately 5km away from the village of Anillaco, northwest of Argentina" title="" id="1" name="Picture"/>
            <a:graphic>
              <a:graphicData uri="http://schemas.openxmlformats.org/drawingml/2006/picture">
                <pic:pic>
                  <pic:nvPicPr>
                    <pic:cNvPr descr="../04_figures/map/tuco_map.png" id="0"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Study site location (orange icon) at the Monte Desert, approximately 5km away from the village of Anillaco, northwest of Argentina</w:t>
      </w:r>
    </w:p>
    <w:bookmarkEnd w:id="23"/>
    <w:bookmarkStart w:id="24" w:name="animal-capture-and-handling"/>
    <w:p>
      <w:pPr>
        <w:pStyle w:val="Heading3"/>
      </w:pPr>
      <w:r>
        <w:rPr>
          <w:rStyle w:val="SectionNumber"/>
        </w:rPr>
        <w:t xml:space="preserve">1.2.3</w:t>
      </w:r>
      <w:r>
        <w:tab/>
      </w:r>
      <w:r>
        <w:t xml:space="preserve">Animal Capture and Handling</w:t>
      </w:r>
    </w:p>
    <w:p>
      <w:pPr>
        <w:pStyle w:val="FirstParagraph"/>
      </w:pPr>
      <w:r>
        <w:t xml:space="preserve">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cul-de-sac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pPr>
      <w:r>
        <w:t xml:space="preserve">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Activity Sensors).</w:t>
      </w:r>
    </w:p>
    <w:p>
      <w:pPr>
        <w:pStyle w:val="TextBody"/>
      </w:pPr>
      <w:r>
        <w:t xml:space="preserve">Animals were released in the same burrow they were originally captured. They were left in the field for 5-18 days before being recaptured for collar recovery. The telemetry transmitter was used to maximize animal localization, thus avoiding the loss of the other devices. All animal captures, procedures and animal handling were authorized by the local authorities at</w:t>
      </w:r>
      <w:r>
        <w:t xml:space="preserve"> </w:t>
      </w:r>
      <w:r>
        <w:rPr>
          <w:iCs/>
          <w:i/>
        </w:rPr>
        <w:t xml:space="preserve">Dirección General de Ambiente y Desarrollo Sustentable – Secretaría de Ambiente del Ministerio de Producción y Desarollo Local</w:t>
      </w:r>
      <w:r>
        <w:t xml:space="preserve"> </w:t>
      </w:r>
      <w:r>
        <w:t xml:space="preserve">– La Rioja, Argentina (#00501-17). All procedures were also approved by the Ethics Committee at the</w:t>
      </w:r>
      <w:r>
        <w:t xml:space="preserve"> </w:t>
      </w:r>
      <w:r>
        <w:rPr>
          <w:iCs/>
          <w:i/>
        </w:rPr>
        <w:t xml:space="preserve">Instituto de Biociências</w:t>
      </w:r>
      <w:r>
        <w:t xml:space="preserve"> </w:t>
      </w:r>
      <w:r>
        <w:t xml:space="preserve">(#308-2018) and</w:t>
      </w:r>
      <w:r>
        <w:t xml:space="preserve"> </w:t>
      </w:r>
      <w:r>
        <w:rPr>
          <w:iCs/>
          <w:i/>
        </w:rPr>
        <w:t xml:space="preserve">Faculdade de Medicina Veterinária</w:t>
      </w:r>
      <w:r>
        <w:t xml:space="preserve"> </w:t>
      </w:r>
      <w:r>
        <w:t xml:space="preserve">(#2045300519) of the</w:t>
      </w:r>
      <w:r>
        <w:t xml:space="preserve"> </w:t>
      </w:r>
      <w:r>
        <w:rPr>
          <w:iCs/>
          <w:i/>
        </w:rPr>
        <w:t xml:space="preserve">Universidade de São Paulo</w:t>
      </w:r>
      <w:r>
        <w:t xml:space="preserve">.</w:t>
      </w:r>
    </w:p>
    <w:bookmarkEnd w:id="24"/>
    <w:bookmarkStart w:id="26" w:name="biologgers"/>
    <w:p>
      <w:pPr>
        <w:pStyle w:val="Heading3"/>
      </w:pPr>
      <w:r>
        <w:rPr>
          <w:rStyle w:val="SectionNumber"/>
        </w:rPr>
        <w:t xml:space="preserve">1.2.4</w:t>
      </w:r>
      <w:r>
        <w:tab/>
      </w:r>
      <w:r>
        <w:t xml:space="preserve">Biologgers</w:t>
      </w:r>
    </w:p>
    <w:p>
      <w:pPr>
        <w:pStyle w:val="FirstParagraph"/>
      </w:pPr>
      <w:r>
        <w:t xml:space="preserve">Accelerometers (Axy-4, TechnoSmart, Italy) and lightloggers (W65, Migrate Technology, UK) were used to record general motor activity and light exposure, respectively. These biologgers were attached to a collar made of a cable tie inserted through silicon tubing</w:t>
      </w:r>
      <w:r>
        <w:t xml:space="preserve"> </w:t>
      </w:r>
      <w:r>
        <w:t xml:space="preserve">(</w:t>
      </w:r>
      <w:hyperlink w:anchor="ref-jannetti2019">
        <w:r>
          <w:rPr>
            <w:rStyle w:val="InternetLink"/>
          </w:rPr>
          <w:t xml:space="preserve">Jannetti et al. 2019</w:t>
        </w:r>
      </w:hyperlink>
      <w:r>
        <w:t xml:space="preserve">;</w:t>
      </w:r>
      <w:r>
        <w:t xml:space="preserve"> </w:t>
      </w:r>
      <w:hyperlink w:anchor="ref-williams2014">
        <w:r>
          <w:rPr>
            <w:rStyle w:val="InternetLink"/>
          </w:rPr>
          <w:t xml:space="preserve">Williams et al. 2014, fig. 1.2</w:t>
        </w:r>
      </w:hyperlink>
      <w:r>
        <w:t xml:space="preserve">)</w:t>
      </w:r>
      <w:r>
        <w:t xml:space="preserve">.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pPr>
      <w:r>
        <w:drawing>
          <wp:inline>
            <wp:extent cx="5943600" cy="5593976"/>
            <wp:effectExtent b="0" l="0" r="0" t="0"/>
            <wp:docPr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title="" id="1" name="Picture"/>
            <a:graphic>
              <a:graphicData uri="http://schemas.openxmlformats.org/drawingml/2006/picture">
                <pic:pic>
                  <pic:nvPicPr>
                    <pic:cNvPr descr="../04_figures/collar/collar_tuco.png" id="0" name="Picture"/>
                    <pic:cNvPicPr>
                      <a:picLocks noChangeArrowheads="1" noChangeAspect="1"/>
                    </pic:cNvPicPr>
                  </pic:nvPicPr>
                  <pic:blipFill>
                    <a:blip r:embed="rId25"/>
                    <a:stretch>
                      <a:fillRect/>
                    </a:stretch>
                  </pic:blipFill>
                  <pic:spPr bwMode="auto">
                    <a:xfrm>
                      <a:off x="0" y="0"/>
                      <a:ext cx="5943600" cy="5593976"/>
                    </a:xfrm>
                    <a:prstGeom prst="rect">
                      <a:avLst/>
                    </a:prstGeom>
                    <a:noFill/>
                    <a:ln w="9525">
                      <a:noFill/>
                      <a:headEnd/>
                      <a:tailEnd/>
                    </a:ln>
                  </pic:spPr>
                </pic:pic>
              </a:graphicData>
            </a:graphic>
          </wp:inline>
        </w:drawing>
      </w:r>
    </w:p>
    <w:p>
      <w:pPr>
        <w:pStyle w:val="ImageCaption"/>
      </w:pPr>
      <w:r>
        <w:t xml:space="preserve">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p>
    <w:bookmarkEnd w:id="26"/>
    <w:bookmarkStart w:id="27" w:name="X40cd478c032b66f18c4f002274135e417e4adee"/>
    <w:p>
      <w:pPr>
        <w:pStyle w:val="Heading3"/>
      </w:pPr>
      <w:r>
        <w:rPr>
          <w:rStyle w:val="SectionNumber"/>
        </w:rPr>
        <w:t xml:space="preserve">1.2.5</w:t>
      </w:r>
      <w:r>
        <w:tab/>
      </w:r>
      <w:r>
        <w:t xml:space="preserve">Data Processing &amp; General Activity Calculation</w:t>
      </w:r>
    </w:p>
    <w:p>
      <w:pPr>
        <w:pStyle w:val="FirstParagraph"/>
      </w:pPr>
      <w: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w:t>
      </w:r>
      <w:r>
        <w:t xml:space="preserve"> </w:t>
      </w:r>
      <w:r>
        <w:t xml:space="preserve">(VeDBA,</w:t>
      </w:r>
      <w:r>
        <w:t xml:space="preserve"> </w:t>
      </w:r>
      <w:hyperlink w:anchor="ref-qasem2012">
        <w:r>
          <w:rPr>
            <w:rStyle w:val="InternetLink"/>
          </w:rPr>
          <w:t xml:space="preserve">Qasem et al. 2012</w:t>
        </w:r>
      </w:hyperlink>
      <w:r>
        <w:t xml:space="preserve">)</w:t>
      </w:r>
      <w:r>
        <w:t xml:space="preserve">. VeDBA is commonly used as a proxy for the animal’s activity level and energy expenditure</w:t>
      </w:r>
      <w:r>
        <w:t xml:space="preserve"> </w:t>
      </w:r>
      <w:r>
        <w:t xml:space="preserve">(</w:t>
      </w:r>
      <w:hyperlink w:anchor="ref-wilson2008">
        <w:r>
          <w:rPr>
            <w:rStyle w:val="InternetLink"/>
          </w:rPr>
          <w:t xml:space="preserve">Wilson et al. 2008</w:t>
        </w:r>
      </w:hyperlink>
      <w:r>
        <w:t xml:space="preserve">;</w:t>
      </w:r>
      <w:r>
        <w:t xml:space="preserve"> </w:t>
      </w:r>
      <w:hyperlink w:anchor="ref-williams2016">
        <w:r>
          <w:rPr>
            <w:rStyle w:val="InternetLink"/>
          </w:rPr>
          <w:t xml:space="preserve">Williams et al. 2016</w:t>
        </w:r>
      </w:hyperlink>
      <w:r>
        <w:t xml:space="preserve">)</w:t>
      </w:r>
      <w:r>
        <w:t xml:space="preserve">.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w:t>
      </w:r>
      <w:r>
        <w:t xml:space="preserve"> </w:t>
      </w:r>
      <w:r>
        <w:t xml:space="preserve">(</w:t>
      </w:r>
      <w:hyperlink w:anchor="ref-ref">
        <w:r>
          <w:rPr>
            <w:rStyle w:val="InternetLink"/>
            <w:bCs/>
            <w:b/>
          </w:rPr>
          <w:t xml:space="preserve">ref?</w:t>
        </w:r>
      </w:hyperlink>
      <w:r>
        <w:t xml:space="preserve">)</w:t>
      </w:r>
      <w:r>
        <w:t xml:space="preserve">.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w:t>
      </w:r>
    </w:p>
    <w:p>
      <w:pPr>
        <w:pStyle w:val="TextBody"/>
      </w:pPr>
      <m:oMathPara>
        <m:oMathParaPr>
          <m:jc m:val="center"/>
        </m:oMathParaPr>
        <m:oMath>
          <m:r>
            <m:t>V</m:t>
          </m:r>
          <m:r>
            <m:t>e</m:t>
          </m:r>
          <m:r>
            <m:t>D</m:t>
          </m:r>
          <m:r>
            <m:t>B</m:t>
          </m:r>
          <m:r>
            <m:t>A</m:t>
          </m:r>
          <m:r>
            <m:rPr>
              <m:sty m:val="p"/>
            </m:rPr>
            <m:t>=</m:t>
          </m:r>
          <m:rad>
            <m:radPr>
              <m:degHide m:val="1"/>
            </m:radPr>
            <m:deg/>
            <m:e>
              <m:r>
                <m:t>X</m:t>
              </m:r>
              <m:sSup>
                <m:e>
                  <m:r>
                    <m:t>d</m:t>
                  </m:r>
                </m:e>
                <m:sup>
                  <m:r>
                    <m:t>2</m:t>
                  </m:r>
                </m:sup>
              </m:sSup>
              <m:r>
                <m:rPr>
                  <m:sty m:val="p"/>
                </m:rPr>
                <m:t>+</m:t>
              </m:r>
              <m:r>
                <m:t>Y</m:t>
              </m:r>
              <m:sSup>
                <m:e>
                  <m:r>
                    <m:t>d</m:t>
                  </m:r>
                </m:e>
                <m:sup>
                  <m:r>
                    <m:t>2</m:t>
                  </m:r>
                </m:sup>
              </m:sSup>
              <m:r>
                <m:rPr>
                  <m:sty m:val="p"/>
                </m:rPr>
                <m:t>+</m:t>
              </m:r>
              <m:r>
                <m:t>Z</m:t>
              </m:r>
              <m:sSup>
                <m:e>
                  <m:r>
                    <m:t>d</m:t>
                  </m:r>
                </m:e>
                <m:sup>
                  <m:r>
                    <m:t>2</m:t>
                  </m:r>
                </m:sup>
              </m:sSup>
            </m:e>
          </m:rad>
        </m:oMath>
      </m:oMathPara>
    </w:p>
    <w:p>
      <w:pPr>
        <w:pStyle w:val="FirstParagraph"/>
      </w:pPr>
      <w: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w:t>
      </w:r>
      <w:r>
        <w:t xml:space="preserve"> </w:t>
      </w:r>
      <w:r>
        <w:rPr>
          <w:iCs/>
          <w:i/>
        </w:rPr>
        <w:t xml:space="preserve">maptools</w:t>
      </w:r>
      <w:r>
        <w:t xml:space="preserve"> </w:t>
      </w:r>
      <w:r>
        <w:t xml:space="preserve">package in R</w:t>
      </w:r>
      <w:r>
        <w:t xml:space="preserve"> </w:t>
      </w:r>
      <w:r>
        <w:t xml:space="preserve">(</w:t>
      </w:r>
      <w:hyperlink w:anchor="ref-bivand2020">
        <w:r>
          <w:rPr>
            <w:rStyle w:val="InternetLink"/>
          </w:rPr>
          <w:t xml:space="preserve">Bivand and Lewin-Koh 2020</w:t>
        </w:r>
      </w:hyperlink>
      <w:r>
        <w:t xml:space="preserve">)</w:t>
      </w:r>
      <w:r>
        <w:t xml:space="preserve">,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w:t>
      </w:r>
      <w:r>
        <w:t xml:space="preserve"> </w:t>
      </w:r>
      <w:r>
        <w:t xml:space="preserve">??</w:t>
      </w:r>
      <w:r>
        <w:t xml:space="preserve">).</w:t>
      </w:r>
    </w:p>
    <w:p>
      <w:pPr>
        <w:pStyle w:val="TextBody"/>
      </w:pPr>
      <w:r>
        <w:t xml:space="preserve">Light exposure was used to analyse the time tuco-tucos spend on the surface and to further classify VeDBA data points as above or below ground. The threshold for considering a data point as being aboveground was 2 lux, consistent with what has been done in</w:t>
      </w:r>
      <w:r>
        <w:t xml:space="preserve"> </w:t>
      </w:r>
      <w:hyperlink w:anchor="ref-jannetti2019">
        <w:r>
          <w:rPr>
            <w:rStyle w:val="InternetLink"/>
          </w:rPr>
          <w:t xml:space="preserve">Jannetti et al.</w:t>
        </w:r>
      </w:hyperlink>
      <w:r>
        <w:t xml:space="preserve"> </w:t>
      </w:r>
      <w:r>
        <w:t xml:space="preserve">(</w:t>
      </w:r>
      <w:hyperlink w:anchor="ref-jannetti2019">
        <w:r>
          <w:rPr>
            <w:rStyle w:val="InternetLink"/>
          </w:rPr>
          <w:t xml:space="preserve">2019</w:t>
        </w:r>
      </w:hyperlink>
      <w:r>
        <w:t xml:space="preserve">)</w:t>
      </w:r>
      <w:r>
        <w:t xml:space="preserve">. Accelerometer and lightlogger data were merged accordingly to the date and times of recordings using purposely written R scripts</w:t>
      </w:r>
      <w:r>
        <w:t xml:space="preserve"> </w:t>
      </w:r>
      <w:r>
        <w:t xml:space="preserve">(</w:t>
      </w:r>
      <w:hyperlink w:anchor="ref-rcoreteam2020">
        <w:r>
          <w:rPr>
            <w:rStyle w:val="InternetLink"/>
          </w:rPr>
          <w:t xml:space="preserve">R Core Team 2020</w:t>
        </w:r>
      </w:hyperlink>
      <w:r>
        <w:t xml:space="preserve">)</w:t>
      </w:r>
      <w:r>
        <w:t xml:space="preserve">. Time of recordings between both devices were not synchronized to the minute. Consequently, we had to round lightlogger recording times to the nearest 5 minutes to merge both data streams.</w:t>
      </w:r>
    </w:p>
    <w:p>
      <w:pPr>
        <w:pStyle w:val="TextBody"/>
      </w:pPr>
      <w:r>
        <w:t xml:space="preserve">In order to exclude any effects that capture and recapture can have in the animal’s activity, we removed the first and last days of all dataset. We also excluded the data corresponding to the days we were attempting to recapture the animal in cases where the recapture attempts took longer than one day. Animals that had data excluded due to recapturing efforts were FEV05 (5 days), JUL16 (5 days) and JUL23 (2 days).</w:t>
      </w:r>
    </w:p>
    <w:bookmarkEnd w:id="27"/>
    <w:bookmarkStart w:id="28" w:name="X0d814d0228d91e2b3b622a9c4410c0344881818"/>
    <w:p>
      <w:pPr>
        <w:pStyle w:val="Heading3"/>
      </w:pPr>
      <w:r>
        <w:rPr>
          <w:rStyle w:val="SectionNumber"/>
        </w:rPr>
        <w:t xml:space="preserve">1.2.6</w:t>
      </w:r>
      <w:r>
        <w:tab/>
      </w:r>
      <w:r>
        <w:t xml:space="preserve">Time on Surface &amp; General Activity Analysis</w:t>
      </w:r>
    </w:p>
    <w:p>
      <w:pPr>
        <w:pStyle w:val="FirstParagraph"/>
      </w:pPr>
      <w:r>
        <w:t xml:space="preserve">VeDBA data was first used to analyse the general activity levels of tuco-tucos. The temporal distribution of VeDBA was visualized</w:t>
      </w:r>
    </w:p>
    <w:bookmarkEnd w:id="28"/>
    <w:bookmarkStart w:id="30" w:name="hidden-markov-models"/>
    <w:p>
      <w:pPr>
        <w:pStyle w:val="Heading3"/>
      </w:pPr>
      <w:r>
        <w:rPr>
          <w:rStyle w:val="SectionNumber"/>
        </w:rPr>
        <w:t xml:space="preserve">1.2.7</w:t>
      </w:r>
      <w:r>
        <w:tab/>
      </w:r>
      <w:r>
        <w:t xml:space="preserve">Hidden Markov Models</w:t>
      </w:r>
    </w:p>
    <w:p>
      <w:pPr>
        <w:pStyle w:val="FirstParagraph"/>
      </w:pPr>
      <w:r>
        <w:t xml:space="preserve">We used Hidden Markov Models (HMMs) to further analyze and classify the 1-minute VeDBA data. HMMs are a type of time series model, therefore, they take into account the temporal dependency of the observations</w:t>
      </w:r>
      <w:r>
        <w:t xml:space="preserve"> </w:t>
      </w:r>
      <w:r>
        <w:t xml:space="preserve">(</w:t>
      </w:r>
      <w:hyperlink w:anchor="ref-leosbarajas2017">
        <w:r>
          <w:rPr>
            <w:rStyle w:val="InternetLink"/>
          </w:rPr>
          <w:t xml:space="preserve">Leos-Barajas et al. 2017</w:t>
        </w:r>
      </w:hyperlink>
      <w:r>
        <w:t xml:space="preserve">)</w:t>
      </w:r>
      <w:r>
        <w:t xml:space="preserve">. Consequently, HMMs are well suited to model accelerometer data given their intrinsic temporal dependency</w:t>
      </w:r>
      <w:r>
        <w:t xml:space="preserve"> </w:t>
      </w:r>
      <w:r>
        <w:t xml:space="preserve">(</w:t>
      </w:r>
      <w:hyperlink w:anchor="ref-leosbarajas2017">
        <w:r>
          <w:rPr>
            <w:rStyle w:val="InternetLink"/>
          </w:rPr>
          <w:t xml:space="preserve">Leos-Barajas et al. 2017</w:t>
        </w:r>
      </w:hyperlink>
      <w:r>
        <w:t xml:space="preserve">;</w:t>
      </w:r>
      <w:r>
        <w:t xml:space="preserve"> </w:t>
      </w:r>
      <w:hyperlink w:anchor="ref-patterson2019">
        <w:r>
          <w:rPr>
            <w:rStyle w:val="InternetLink"/>
          </w:rPr>
          <w:t xml:space="preserve">A. Patterson et al. 2019</w:t>
        </w:r>
      </w:hyperlink>
      <w:r>
        <w:t xml:space="preserve">)</w:t>
      </w:r>
      <w:r>
        <w:t xml:space="preserve">. HMMs are composed of two time series: the observable</w:t>
      </w:r>
      <w:r>
        <w:t xml:space="preserve"> </w:t>
      </w:r>
      <w:r>
        <w:rPr>
          <w:iCs/>
          <w:i/>
        </w:rPr>
        <w:t xml:space="preserve">state-dependent process</w:t>
      </w:r>
      <w:r>
        <w:t xml:space="preserve"> </w:t>
      </w:r>
      <w:r>
        <w:t xml:space="preserve">(</w:t>
      </w:r>
      <m:oMath>
        <m:sSub>
          <m:e>
            <m:r>
              <m:t>X</m:t>
            </m:r>
          </m:e>
          <m:sub>
            <m:r>
              <m:t>t</m:t>
            </m:r>
          </m:sub>
        </m:sSub>
      </m:oMath>
      <w:r>
        <w:t xml:space="preserve">), VeDBA in our case, and an underlying, or hidden,</w:t>
      </w:r>
      <w:r>
        <w:t xml:space="preserve"> </w:t>
      </w:r>
      <w:r>
        <w:rPr>
          <w:iCs/>
          <w:i/>
        </w:rPr>
        <w:t xml:space="preserve">state process</w:t>
      </w:r>
      <w:r>
        <w:t xml:space="preserve"> </w:t>
      </w:r>
      <w:r>
        <w:t xml:space="preserve">(</w:t>
      </w:r>
      <m:oMath>
        <m:sSub>
          <m:e>
            <m:r>
              <m:t>S</m:t>
            </m:r>
          </m:e>
          <m:sub>
            <m:r>
              <m:t>t</m:t>
            </m:r>
          </m:sub>
        </m:sSub>
      </m:oMath>
      <w:r>
        <w:t xml:space="preserve">). The</w:t>
      </w:r>
      <w:r>
        <w:t xml:space="preserve"> </w:t>
      </w:r>
      <w:r>
        <w:rPr>
          <w:iCs/>
          <w:i/>
        </w:rPr>
        <w:t xml:space="preserve">state process</w:t>
      </w:r>
      <w:r>
        <w:t xml:space="preserve"> </w:t>
      </w:r>
      <w:r>
        <w:t xml:space="preserve">is what drives the observations and what we are interested in estimating, which roughly corresponds to behavioral states (Figure</w:t>
      </w:r>
      <w:r>
        <w:t xml:space="preserve"> </w:t>
      </w:r>
      <w:r>
        <w:t xml:space="preserve">1.3</w:t>
      </w:r>
      <w:r>
        <w:t xml:space="preserve">).</w:t>
      </w:r>
    </w:p>
    <w:p>
      <w:pPr>
        <w:pStyle w:val="TextBody"/>
      </w:pPr>
      <w:r>
        <w:t xml:space="preserve">The</w:t>
      </w:r>
      <w:r>
        <w:t xml:space="preserve"> </w:t>
      </w:r>
      <w:r>
        <w:rPr>
          <w:iCs/>
          <w:i/>
        </w:rPr>
        <w:t xml:space="preserve">state process</w:t>
      </w:r>
      <w:r>
        <w:t xml:space="preserve"> </w:t>
      </w:r>
      <w:r>
        <w:t xml:space="preserve">follows the Markov Property and take temporal dependency into account</w:t>
      </w:r>
      <w:r>
        <w:t xml:space="preserve"> </w:t>
      </w:r>
      <w:r>
        <w:t xml:space="preserve">(</w:t>
      </w:r>
      <w:hyperlink w:anchor="ref-zucchini2016">
        <w:r>
          <w:rPr>
            <w:rStyle w:val="InternetLink"/>
          </w:rPr>
          <w:t xml:space="preserve">Zucchini, Iain MacDonald, and Roland Langrock 2016</w:t>
        </w:r>
      </w:hyperlink>
      <w:r>
        <w:t xml:space="preserve">)</w:t>
      </w:r>
      <w:r>
        <w:t xml:space="preserve">. The Markov property denotes that a state</w:t>
      </w:r>
      <w:r>
        <w:t xml:space="preserve"> </w:t>
      </w:r>
      <m:oMath>
        <m:sSub>
          <m:e>
            <m:r>
              <m:t>S</m:t>
            </m:r>
          </m:e>
          <m:sub>
            <m:r>
              <m:t>t</m:t>
            </m:r>
          </m:sub>
        </m:sSub>
      </m:oMath>
      <w:r>
        <w:t xml:space="preserve"> </w:t>
      </w:r>
      <w:r>
        <w:t xml:space="preserve">depends only on the previous state</w:t>
      </w:r>
      <w:r>
        <w:t xml:space="preserve"> </w:t>
      </w:r>
      <m:oMath>
        <m:sSub>
          <m:e>
            <m:r>
              <m:t>S</m:t>
            </m:r>
          </m:e>
          <m:sub>
            <m:r>
              <m:t>t</m:t>
            </m:r>
            <m:r>
              <m:rPr>
                <m:sty m:val="p"/>
              </m:rPr>
              <m:t>−</m:t>
            </m:r>
            <m:r>
              <m:t>1</m:t>
            </m:r>
          </m:sub>
        </m:sSub>
      </m:oMath>
      <w:r>
        <w:t xml:space="preserve"> </w:t>
      </w:r>
      <w:r>
        <w:t xml:space="preserve">(</w:t>
      </w:r>
      <w:hyperlink w:anchor="ref-zucchini2016">
        <w:r>
          <w:rPr>
            <w:rStyle w:val="InternetLink"/>
          </w:rPr>
          <w:t xml:space="preserve">Zucchini, Iain MacDonald, and Roland Langrock 2016</w:t>
        </w:r>
      </w:hyperlink>
      <w:r>
        <w:t xml:space="preserve">)</w:t>
      </w:r>
      <w:r>
        <w:t xml:space="preserve">. In the case of accelerometer and animal movement studies the states are representations of the animals’ behavior and can take on finite number (</w:t>
      </w:r>
      <m:oMath>
        <m:r>
          <m:t>N</m:t>
        </m:r>
      </m:oMath>
      <w:r>
        <w:t xml:space="preserve">) of possible values. The number of states can be chosen</w:t>
      </w:r>
      <w:r>
        <w:t xml:space="preserve"> </w:t>
      </w:r>
      <w:r>
        <w:rPr>
          <w:iCs/>
          <w:i/>
        </w:rPr>
        <w:t xml:space="preserve">a priori</w:t>
      </w:r>
      <w:r>
        <w:t xml:space="preserve"> </w:t>
      </w:r>
      <w:r>
        <w:t xml:space="preserve">or based on model selection</w:t>
      </w:r>
      <w:r>
        <w:t xml:space="preserve"> </w:t>
      </w:r>
      <w:r>
        <w:t xml:space="preserve">(</w:t>
      </w:r>
      <w:hyperlink w:anchor="ref-pohle2017">
        <w:r>
          <w:rPr>
            <w:rStyle w:val="InternetLink"/>
          </w:rPr>
          <w:t xml:space="preserve">Pohle et al. 2017</w:t>
        </w:r>
      </w:hyperlink>
      <w:r>
        <w:t xml:space="preserve">)</w:t>
      </w:r>
      <w:r>
        <w:t xml:space="preserve">. The changes in probabilities between states are also part of the of HMM formulation, summarized by a Transition Probability Matrix that gives the probability of transitioning from the current state to a possible future state.</w:t>
      </w:r>
    </w:p>
    <w:p>
      <w:pPr>
        <w:pStyle w:val="TextBody"/>
      </w:pPr>
      <w:r>
        <w:t xml:space="preserve">In the basic HMM formulation the observable</w:t>
      </w:r>
      <w:r>
        <w:t xml:space="preserve"> </w:t>
      </w:r>
      <w:r>
        <w:rPr>
          <w:iCs/>
          <w:i/>
        </w:rPr>
        <w:t xml:space="preserve">state-dependent process</w:t>
      </w:r>
      <w:r>
        <w:t xml:space="preserve"> </w:t>
      </w:r>
      <w:r>
        <w:t xml:space="preserve">comes from a mixture of</w:t>
      </w:r>
      <w:r>
        <w:t xml:space="preserve"> </w:t>
      </w:r>
      <m:oMath>
        <m:r>
          <m:t>N</m:t>
        </m:r>
      </m:oMath>
      <w:r>
        <w:t xml:space="preserve"> </w:t>
      </w:r>
      <w:r>
        <w:t xml:space="preserve">distributions, one for each state. These distributions come from a common family (e.g. Normal, Weibull or Gamma) and each one have their own set of parameter values. The active distribution is determined by the state the system is in at a given time</w:t>
      </w:r>
      <w:r>
        <w:t xml:space="preserve"> </w:t>
      </w:r>
      <m:oMath>
        <m:r>
          <m:t>t</m:t>
        </m:r>
      </m:oMath>
      <w:r>
        <w:t xml:space="preserve">. Therefore, the observations are a realization from one of these distributions. The distribution parameters, state transition probabilities and other model parameters can be estimated by numerical maximization of the Likelihood</w:t>
      </w:r>
      <w:r>
        <w:t xml:space="preserve"> </w:t>
      </w:r>
      <w:r>
        <w:t xml:space="preserve">(</w:t>
      </w:r>
      <w:hyperlink w:anchor="ref-zucchini2016">
        <w:r>
          <w:rPr>
            <w:rStyle w:val="InternetLink"/>
          </w:rPr>
          <w:t xml:space="preserve">Zucchini, Iain MacDonald, and Roland Langrock 2016</w:t>
        </w:r>
      </w:hyperlink>
      <w:r>
        <w:t xml:space="preserve">)</w:t>
      </w:r>
      <w:r>
        <w:t xml:space="preserve">. With the model parameters in hand, the most probable state sequence can be found by the Viterbi algorithm</w:t>
      </w:r>
      <w:r>
        <w:t xml:space="preserve"> </w:t>
      </w:r>
      <w:r>
        <w:t xml:space="preserve">(</w:t>
      </w:r>
      <w:hyperlink w:anchor="ref-mcclintock2020">
        <w:r>
          <w:rPr>
            <w:rStyle w:val="InternetLink"/>
          </w:rPr>
          <w:t xml:space="preserve">Brett T. McClintock et al. 2020</w:t>
        </w:r>
      </w:hyperlink>
      <w:r>
        <w:t xml:space="preserve">;</w:t>
      </w:r>
      <w:r>
        <w:t xml:space="preserve"> </w:t>
      </w:r>
      <w:hyperlink w:anchor="ref-zucchini2016">
        <w:r>
          <w:rPr>
            <w:rStyle w:val="InternetLink"/>
          </w:rPr>
          <w:t xml:space="preserve">Zucchini, Iain MacDonald, and Roland Langrock 2016</w:t>
        </w:r>
      </w:hyperlink>
      <w:r>
        <w:t xml:space="preserve">)</w:t>
      </w:r>
      <w:r>
        <w:t xml:space="preserve">.</w:t>
      </w:r>
    </w:p>
    <w:p>
      <w:pPr>
        <w:pStyle w:val="CaptionedFigure"/>
      </w:pPr>
      <w:r>
        <w:drawing>
          <wp:inline>
            <wp:extent cx="3810000" cy="2540000"/>
            <wp:effectExtent b="0" l="0" r="0" t="0"/>
            <wp:docPr descr="Figure 1.3: Basic dependence structure for a Hidden Markov Model" title="" id="1" name="Picture"/>
            <a:graphic>
              <a:graphicData uri="http://schemas.openxmlformats.org/drawingml/2006/picture">
                <pic:pic>
                  <pic:nvPicPr>
                    <pic:cNvPr descr="tese_jefferson_files/figure-docx/hmm-formulation-1.pdf"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Basic dependence structure for a Hidden Markov Model</w:t>
      </w:r>
    </w:p>
    <w:bookmarkEnd w:id="30"/>
    <w:bookmarkStart w:id="31" w:name="Xdb6b397daf2ee291d713b2ff7b5fbb4ce7f1bb6"/>
    <w:p>
      <w:pPr>
        <w:pStyle w:val="Heading3"/>
      </w:pPr>
      <w:r>
        <w:rPr>
          <w:rStyle w:val="SectionNumber"/>
        </w:rPr>
        <w:t xml:space="preserve">1.2.8</w:t>
      </w:r>
      <w:r>
        <w:tab/>
      </w:r>
      <w:r>
        <w:t xml:space="preserve">Model Formulation and State Classification</w:t>
      </w:r>
    </w:p>
    <w:p>
      <w:pPr>
        <w:pStyle w:val="FirstParagraph"/>
      </w:pPr>
      <w:r>
        <w:t xml:space="preserve">In our models we have chosen VeDBA as our activity metric. We determined</w:t>
      </w:r>
      <w:r>
        <w:t xml:space="preserve"> </w:t>
      </w:r>
      <w:r>
        <w:rPr>
          <w:iCs/>
          <w:i/>
        </w:rPr>
        <w:t xml:space="preserve">a priori</w:t>
      </w:r>
      <w:r>
        <w:t xml:space="preserve"> </w:t>
      </w:r>
      <w:r>
        <w:t xml:space="preserve">a possible number of three different states (</w:t>
      </w:r>
      <m:oMath>
        <m:r>
          <m:t>N</m:t>
        </m:r>
        <m:r>
          <m:rPr>
            <m:sty m:val="p"/>
          </m:rPr>
          <m:t>=</m:t>
        </m:r>
        <m:r>
          <m:t>3</m:t>
        </m:r>
      </m:oMath>
      <w:r>
        <w:t xml:space="preserve">). This decision was made based on our research question, in the VeDBA distributions (REF Figure</w:t>
      </w:r>
      <w:r>
        <w:t xml:space="preserve"> </w:t>
      </w:r>
      <w:r>
        <w:t xml:space="preserve">??</w:t>
      </w:r>
      <w:r>
        <w:t xml:space="preserve">)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w:t>
      </w:r>
      <w:r>
        <w:t xml:space="preserve"> </w:t>
      </w:r>
      <w:r>
        <w:t xml:space="preserve">(</w:t>
      </w:r>
      <w:hyperlink w:anchor="ref-leosbarajas2017">
        <w:r>
          <w:rPr>
            <w:rStyle w:val="InternetLink"/>
          </w:rPr>
          <w:t xml:space="preserve">Leos-Barajas et al. 2017</w:t>
        </w:r>
      </w:hyperlink>
      <w:r>
        <w:t xml:space="preserve">;</w:t>
      </w:r>
      <w:r>
        <w:t xml:space="preserve"> </w:t>
      </w:r>
      <w:hyperlink w:anchor="ref-papastamatiou2018">
        <w:r>
          <w:rPr>
            <w:rStyle w:val="InternetLink"/>
          </w:rPr>
          <w:t xml:space="preserve">Papastamatiou et al. 2018</w:t>
        </w:r>
      </w:hyperlink>
      <w:r>
        <w:t xml:space="preserve">)</w:t>
      </w:r>
      <w:r>
        <w:t xml:space="preserve">. We labelled the states as roughly corresponding to</w:t>
      </w:r>
      <w:r>
        <w:t xml:space="preserve"> </w:t>
      </w:r>
      <w:r>
        <w:t xml:space="preserve">“</w:t>
      </w:r>
      <w:r>
        <w:t xml:space="preserve">Rest,</w:t>
      </w:r>
      <w:r>
        <w:t xml:space="preserve">”</w:t>
      </w:r>
      <w:r>
        <w:t xml:space="preserve"> </w:t>
      </w:r>
      <w:r>
        <w:t xml:space="preserve">“</w:t>
      </w:r>
      <w:r>
        <w:t xml:space="preserve">Medium Intensity Activity</w:t>
      </w:r>
      <w:r>
        <w:t xml:space="preserve">”</w:t>
      </w:r>
      <w:r>
        <w:t xml:space="preserve"> </w:t>
      </w:r>
      <w:r>
        <w:t xml:space="preserve">and</w:t>
      </w:r>
      <w:r>
        <w:t xml:space="preserve"> </w:t>
      </w:r>
      <w:r>
        <w:t xml:space="preserve">“</w:t>
      </w:r>
      <w:r>
        <w:t xml:space="preserve">High Intensity Activity.</w:t>
      </w:r>
      <w:r>
        <w:t xml:space="preserve">”</w:t>
      </w:r>
    </w:p>
    <w:p>
      <w:pPr>
        <w:pStyle w:val="TextBody"/>
      </w:pPr>
      <w:r>
        <w:t xml:space="preserve">HMMs can be fitted individually</w:t>
      </w:r>
      <w:r>
        <w:t xml:space="preserve"> </w:t>
      </w:r>
      <w:r>
        <w:t xml:space="preserve">(e.g.</w:t>
      </w:r>
      <w:r>
        <w:t xml:space="preserve"> </w:t>
      </w:r>
      <w:hyperlink w:anchor="ref-vandekerk2015">
        <w:r>
          <w:rPr>
            <w:rStyle w:val="InternetLink"/>
          </w:rPr>
          <w:t xml:space="preserve">van de Kerk et al. 2015</w:t>
        </w:r>
      </w:hyperlink>
      <w:r>
        <w:t xml:space="preserve">)</w:t>
      </w:r>
      <w:r>
        <w:t xml:space="preserve"> </w:t>
      </w:r>
      <w:r>
        <w:t xml:space="preserve">or to a pool of animals</w:t>
      </w:r>
      <w:r>
        <w:t xml:space="preserve"> </w:t>
      </w:r>
      <w:r>
        <w:t xml:space="preserve">(</w:t>
      </w:r>
      <w:hyperlink w:anchor="ref-langrock2012">
        <w:r>
          <w:rPr>
            <w:rStyle w:val="InternetLink"/>
          </w:rPr>
          <w:t xml:space="preserve">Langrock et al. 2012</w:t>
        </w:r>
      </w:hyperlink>
      <w:r>
        <w:t xml:space="preserve">)</w:t>
      </w:r>
      <w:r>
        <w:t xml:space="preserve">. The models can also include covariate effects that modify either the</w:t>
      </w:r>
      <w:r>
        <w:t xml:space="preserve"> </w:t>
      </w:r>
      <w:r>
        <w:rPr>
          <w:iCs/>
          <w:i/>
        </w:rPr>
        <w:t xml:space="preserve">state-dependent</w:t>
      </w:r>
      <w:r>
        <w:t xml:space="preserve"> </w:t>
      </w:r>
      <w:r>
        <w:t xml:space="preserve">distribution parameters or the transition probabilities</w:t>
      </w:r>
      <w:r>
        <w:t xml:space="preserve"> </w:t>
      </w:r>
      <w:r>
        <w:t xml:space="preserve">(</w:t>
      </w:r>
      <w:hyperlink w:anchor="ref-patterson2009">
        <w:r>
          <w:rPr>
            <w:rStyle w:val="InternetLink"/>
          </w:rPr>
          <w:t xml:space="preserve">T. A. Patterson et al. 2009</w:t>
        </w:r>
      </w:hyperlink>
      <w:r>
        <w:t xml:space="preserve">;</w:t>
      </w:r>
      <w:r>
        <w:t xml:space="preserve"> </w:t>
      </w:r>
      <w:hyperlink w:anchor="ref-langrock2012">
        <w:r>
          <w:rPr>
            <w:rStyle w:val="InternetLink"/>
          </w:rPr>
          <w:t xml:space="preserve">Langrock et al. 2012</w:t>
        </w:r>
      </w:hyperlink>
      <w:r>
        <w:t xml:space="preserve">)</w:t>
      </w:r>
      <w:r>
        <w:t xml:space="preserve">. We fitted a 3-state HMM to the 1-minute VeDBA data using a</w:t>
      </w:r>
      <w:r>
        <w:t xml:space="preserve"> </w:t>
      </w:r>
      <w:r>
        <w:t xml:space="preserve">‘</w:t>
      </w:r>
      <w:r>
        <w:t xml:space="preserve">complete pooling</w:t>
      </w:r>
      <w:r>
        <w:t xml:space="preserve">’</w:t>
      </w:r>
      <w:r>
        <w:t xml:space="preserve"> </w:t>
      </w:r>
      <w:r>
        <w:t xml:space="preserve">approach. This means that the</w:t>
      </w:r>
      <w:r>
        <w:t xml:space="preserve"> </w:t>
      </w:r>
      <w:r>
        <w:rPr>
          <w:iCs/>
          <w:i/>
        </w:rPr>
        <w:t xml:space="preserve">state-dependent</w:t>
      </w:r>
      <w:r>
        <w:t xml:space="preserve"> </w:t>
      </w:r>
      <w:r>
        <w:t xml:space="preserve">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w:t>
      </w:r>
      <w:r>
        <w:t xml:space="preserve"> </w:t>
      </w:r>
      <w:r>
        <w:t xml:space="preserve">??</w:t>
      </w:r>
      <w:r>
        <w:t xml:space="preserve">) we included season as a covariate in the</w:t>
      </w:r>
      <w:r>
        <w:t xml:space="preserve"> </w:t>
      </w:r>
      <w:r>
        <w:rPr>
          <w:iCs/>
          <w:i/>
        </w:rPr>
        <w:t xml:space="preserve">state process</w:t>
      </w:r>
      <w:r>
        <w:t xml:space="preserve">. Hence, nãwe let the probability of changing from one state to another vary in relation to the season/month of the year. We also fitted an empty model, with no covariate effects, and used Akaike’s Information Criteria (AIC) to select the model with best fit to the data</w:t>
      </w:r>
      <w:r>
        <w:t xml:space="preserve"> </w:t>
      </w:r>
      <w:r>
        <w:t xml:space="preserve">(</w:t>
      </w:r>
      <w:hyperlink w:anchor="ref-burnham2002">
        <w:r>
          <w:rPr>
            <w:rStyle w:val="InternetLink"/>
          </w:rPr>
          <w:t xml:space="preserve">Burnham, Anderson, and Burnham 2002</w:t>
        </w:r>
      </w:hyperlink>
      <w:r>
        <w:t xml:space="preserve">)</w:t>
      </w:r>
      <w:r>
        <w:t xml:space="preserve">.</w:t>
      </w:r>
    </w:p>
    <w:p>
      <w:pPr>
        <w:pStyle w:val="TextBody"/>
      </w:pPr>
      <w:r>
        <w:t xml:space="preserve">Models were fitted using the momentuHMM package in R</w:t>
      </w:r>
      <w:r>
        <w:t xml:space="preserve"> </w:t>
      </w:r>
      <w:r>
        <w:t xml:space="preserve">(</w:t>
      </w:r>
      <w:hyperlink w:anchor="ref-mcclintock2021">
        <w:r>
          <w:rPr>
            <w:rStyle w:val="InternetLink"/>
          </w:rPr>
          <w:t xml:space="preserve">Brett T. McClintock and Michelot 2021</w:t>
        </w:r>
      </w:hyperlink>
      <w:r>
        <w:t xml:space="preserve">)</w:t>
      </w:r>
      <w: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w:t>
      </w:r>
      <w:r>
        <w:t xml:space="preserve"> </w:t>
      </w:r>
      <w:hyperlink w:anchor="ref-michelot2019">
        <w:r>
          <w:rPr>
            <w:rStyle w:val="InternetLink"/>
          </w:rPr>
          <w:t xml:space="preserve">Michelot and Langrock</w:t>
        </w:r>
      </w:hyperlink>
      <w:r>
        <w:t xml:space="preserve"> </w:t>
      </w:r>
      <w:r>
        <w:t xml:space="preserve">(</w:t>
      </w:r>
      <w:hyperlink w:anchor="ref-michelot2019">
        <w:r>
          <w:rPr>
            <w:rStyle w:val="InternetLink"/>
          </w:rPr>
          <w:t xml:space="preserve">2019</w:t>
        </w:r>
      </w:hyperlink>
      <w:r>
        <w:t xml:space="preserve">)</w:t>
      </w:r>
      <w:r>
        <w:t xml:space="preserve">. Season was included as a categorical variable, its influence over the transition probabilities was summarized using stationary probabilities plots</w:t>
      </w:r>
      <w:r>
        <w:t xml:space="preserve"> </w:t>
      </w:r>
      <w:r>
        <w:t xml:space="preserve">(</w:t>
      </w:r>
      <w:hyperlink w:anchor="ref-leosbarajas2017">
        <w:r>
          <w:rPr>
            <w:rStyle w:val="InternetLink"/>
          </w:rPr>
          <w:t xml:space="preserve">Leos-Barajas et al. 2017</w:t>
        </w:r>
      </w:hyperlink>
      <w:r>
        <w:t xml:space="preserve">)</w:t>
      </w:r>
      <w:r>
        <w:t xml:space="preserve">. The most probable state sequence was decoded using the Viterbi algorithm</w:t>
      </w:r>
      <w:r>
        <w:t xml:space="preserve"> </w:t>
      </w:r>
      <w:r>
        <w:t xml:space="preserve">(</w:t>
      </w:r>
      <w:hyperlink w:anchor="ref-zucchini2016">
        <w:r>
          <w:rPr>
            <w:rStyle w:val="InternetLink"/>
          </w:rPr>
          <w:t xml:space="preserve">Zucchini, Iain MacDonald, and Roland Langrock 2016</w:t>
        </w:r>
      </w:hyperlink>
      <w:r>
        <w:t xml:space="preserve">)</w:t>
      </w:r>
      <w:r>
        <w:t xml:space="preserve">. The decoded sequence was then used to conducted other</w:t>
      </w:r>
      <w:r>
        <w:t xml:space="preserve"> </w:t>
      </w:r>
      <w:r>
        <w:rPr>
          <w:iCs/>
          <w:i/>
        </w:rPr>
        <w:t xml:space="preserve">post-hoc</w:t>
      </w:r>
      <w:r>
        <w:t xml:space="preserve"> </w:t>
      </w:r>
      <w:r>
        <w:t xml:space="preserve">analysis of diurnality and rhythmicity. We checked model assumptions and goodness of fit by visual inspection of the pseudo-residuals</w:t>
      </w:r>
      <w:r>
        <w:t xml:space="preserve"> </w:t>
      </w:r>
      <w:r>
        <w:t xml:space="preserve">(</w:t>
      </w:r>
      <w:hyperlink w:anchor="ref-zucchini2016">
        <w:r>
          <w:rPr>
            <w:rStyle w:val="InternetLink"/>
          </w:rPr>
          <w:t xml:space="preserve">Zucchini, Iain MacDonald, and Roland Langrock 2016</w:t>
        </w:r>
      </w:hyperlink>
      <w:r>
        <w:t xml:space="preserve">)</w:t>
      </w:r>
      <w:r>
        <w:t xml:space="preserve">.</w:t>
      </w:r>
    </w:p>
    <w:bookmarkEnd w:id="31"/>
    <w:bookmarkStart w:id="32" w:name="diurnality-index"/>
    <w:p>
      <w:pPr>
        <w:pStyle w:val="Heading3"/>
      </w:pPr>
      <w:r>
        <w:rPr>
          <w:rStyle w:val="SectionNumber"/>
        </w:rPr>
        <w:t xml:space="preserve">1.2.9</w:t>
      </w:r>
      <w:r>
        <w:tab/>
      </w:r>
      <w:r>
        <w:t xml:space="preserve">Diurnality Index</w:t>
      </w:r>
    </w:p>
    <w:p>
      <w:pPr>
        <w:pStyle w:val="FirstParagraph"/>
      </w:pPr>
      <w:r>
        <w:t xml:space="preserve">We defined diurnality index (DI) as the percentage of daytime the animals spent in one of the states in relation to the total time spent in the same state during both daytime and night-time, corrected by the daylength of each season</w:t>
      </w:r>
      <w:r>
        <w:t xml:space="preserve"> </w:t>
      </w:r>
      <w:hyperlink w:anchor="ref-jannetti2019">
        <w:r>
          <w:rPr>
            <w:rStyle w:val="InternetLink"/>
          </w:rPr>
          <w:t xml:space="preserve">Jannetti et al.</w:t>
        </w:r>
      </w:hyperlink>
      <w:r>
        <w:t xml:space="preserve"> </w:t>
      </w:r>
      <w:r>
        <w:t xml:space="preserve">(</w:t>
      </w:r>
      <w:hyperlink w:anchor="ref-jannetti2019">
        <w:r>
          <w:rPr>
            <w:rStyle w:val="InternetLink"/>
          </w:rPr>
          <w:t xml:space="preserve">2019</w:t>
        </w:r>
      </w:hyperlink>
      <w:r>
        <w:t xml:space="preserve">)</w:t>
      </w:r>
      <w:r>
        <w:t xml:space="preserve">. The DI ranges from 0 to 1, with 0 meaning that all activity happens during the night and 1 the opposite, that all activity happens during the day.</w:t>
      </w:r>
    </w:p>
    <w:p>
      <w:pPr>
        <w:pStyle w:val="TextBody"/>
      </w:pPr>
      <w:r>
        <w:t xml:space="preserve">The equation for the diurnality is shown below, where</w:t>
      </w:r>
      <w:r>
        <w:t xml:space="preserve"> </w:t>
      </w:r>
      <m:oMath>
        <m:r>
          <m:t>t</m:t>
        </m:r>
        <m:sSub>
          <m:e>
            <m:r>
              <m:t>s</m:t>
            </m:r>
          </m:e>
          <m:sub>
            <m:r>
              <m:t>d</m:t>
            </m:r>
            <m:r>
              <m:t>a</m:t>
            </m:r>
            <m:r>
              <m:t>y</m:t>
            </m:r>
          </m:sub>
        </m:sSub>
      </m:oMath>
      <w:r>
        <w:t xml:space="preserve"> </w:t>
      </w:r>
      <w:r>
        <w:t xml:space="preserve">and</w:t>
      </w:r>
      <w:r>
        <w:t xml:space="preserve"> </w:t>
      </w:r>
      <m:oMath>
        <m:r>
          <m:t>t</m:t>
        </m:r>
        <m:sSub>
          <m:e>
            <m:r>
              <m:t>s</m:t>
            </m:r>
          </m:e>
          <m:sub>
            <m:r>
              <m:t>n</m:t>
            </m:r>
            <m:r>
              <m:t>i</m:t>
            </m:r>
            <m:r>
              <m:t>g</m:t>
            </m:r>
            <m:r>
              <m:t>h</m:t>
            </m:r>
            <m:r>
              <m:t>t</m:t>
            </m:r>
          </m:sub>
        </m:sSub>
      </m:oMath>
      <w:r>
        <w:t xml:space="preserve"> </w:t>
      </w:r>
      <w:r>
        <w:t xml:space="preserve">are the time spent in the state during the day and night respectively.</w:t>
      </w:r>
      <w:r>
        <w:t xml:space="preserve"> </w:t>
      </w:r>
      <m:oMath>
        <m:sSub>
          <m:e>
            <m:r>
              <m:t>L</m:t>
            </m:r>
          </m:e>
          <m:sub>
            <m:r>
              <m:t>d</m:t>
            </m:r>
            <m:r>
              <m:t>a</m:t>
            </m:r>
            <m:r>
              <m:t>y</m:t>
            </m:r>
          </m:sub>
        </m:sSub>
      </m:oMath>
      <w:r>
        <w:t xml:space="preserve"> </w:t>
      </w:r>
      <w:r>
        <w:t xml:space="preserve">and</w:t>
      </w:r>
      <w:r>
        <w:t xml:space="preserve"> </w:t>
      </w:r>
      <m:oMath>
        <m:sSub>
          <m:e>
            <m:r>
              <m:t>L</m:t>
            </m:r>
          </m:e>
          <m:sub>
            <m:r>
              <m:t>n</m:t>
            </m:r>
            <m:r>
              <m:t>i</m:t>
            </m:r>
            <m:r>
              <m:t>g</m:t>
            </m:r>
            <m:r>
              <m:t>h</m:t>
            </m:r>
            <m:r>
              <m:t>t</m:t>
            </m:r>
          </m:sub>
        </m:sSub>
      </m:oMath>
      <w:r>
        <w:t xml:space="preserve"> </w:t>
      </w:r>
      <w:r>
        <w:t xml:space="preserve">are the daylength and night-length, determined by the civil twilight.</w:t>
      </w:r>
    </w:p>
    <w:p>
      <w:pPr>
        <w:pStyle w:val="TextBody"/>
      </w:pPr>
      <m:oMathPara>
        <m:oMathParaPr>
          <m:jc m:val="center"/>
        </m:oMathParaPr>
        <m:oMath>
          <m:r>
            <m:t>D</m:t>
          </m:r>
          <m:r>
            <m:t>i</m:t>
          </m:r>
          <m:r>
            <m:t>u</m:t>
          </m:r>
          <m:r>
            <m:t>r</m:t>
          </m:r>
          <m:r>
            <m:t>n</m:t>
          </m:r>
          <m:r>
            <m:t>a</m:t>
          </m:r>
          <m:r>
            <m:t>l</m:t>
          </m:r>
          <m:r>
            <m:t>i</m:t>
          </m:r>
          <m:r>
            <m:t>t</m:t>
          </m:r>
          <m:r>
            <m:t>y</m:t>
          </m:r>
          <m:r>
            <m:rPr>
              <m:sty m:val="p"/>
            </m:rPr>
            <m:t>=</m:t>
          </m:r>
          <m:f>
            <m:fPr>
              <m:type m:val="bar"/>
            </m:fPr>
            <m:num>
              <m:r>
                <m:t>t</m:t>
              </m:r>
              <m:sSub>
                <m:e>
                  <m:r>
                    <m:t>s</m:t>
                  </m:r>
                </m:e>
                <m:sub>
                  <m:r>
                    <m:t>d</m:t>
                  </m:r>
                  <m:r>
                    <m:t>a</m:t>
                  </m:r>
                  <m:r>
                    <m:t>y</m:t>
                  </m:r>
                </m:sub>
              </m:sSub>
              <m:r>
                <m:rPr>
                  <m:sty m:val="p"/>
                </m:rPr>
                <m:t>/</m:t>
              </m:r>
              <m:sSub>
                <m:e>
                  <m:r>
                    <m:t>L</m:t>
                  </m:r>
                </m:e>
                <m:sub>
                  <m:r>
                    <m:t>d</m:t>
                  </m:r>
                  <m:r>
                    <m:t>a</m:t>
                  </m:r>
                  <m:r>
                    <m:t>y</m:t>
                  </m:r>
                </m:sub>
              </m:sSub>
            </m:num>
            <m:den>
              <m:r>
                <m:t>t</m:t>
              </m:r>
              <m:sSub>
                <m:e>
                  <m:r>
                    <m:t>s</m:t>
                  </m:r>
                </m:e>
                <m:sub>
                  <m:r>
                    <m:t>d</m:t>
                  </m:r>
                  <m:r>
                    <m:t>a</m:t>
                  </m:r>
                  <m:r>
                    <m:t>y</m:t>
                  </m:r>
                </m:sub>
              </m:sSub>
              <m:r>
                <m:rPr>
                  <m:sty m:val="p"/>
                </m:rPr>
                <m:t>/</m:t>
              </m:r>
              <m:sSub>
                <m:e>
                  <m:r>
                    <m:t>L</m:t>
                  </m:r>
                </m:e>
                <m:sub>
                  <m:r>
                    <m:t>d</m:t>
                  </m:r>
                  <m:r>
                    <m:t>a</m:t>
                  </m:r>
                  <m:r>
                    <m:t>y</m:t>
                  </m:r>
                </m:sub>
              </m:sSub>
              <m:r>
                <m:rPr>
                  <m:sty m:val="p"/>
                </m:rPr>
                <m:t>+</m:t>
              </m:r>
              <m:r>
                <m:t>t</m:t>
              </m:r>
              <m:sSub>
                <m:e>
                  <m:r>
                    <m:t>s</m:t>
                  </m:r>
                </m:e>
                <m:sub>
                  <m:r>
                    <m:t>n</m:t>
                  </m:r>
                  <m:r>
                    <m:t>i</m:t>
                  </m:r>
                  <m:r>
                    <m:t>g</m:t>
                  </m:r>
                  <m:r>
                    <m:t>h</m:t>
                  </m:r>
                  <m:r>
                    <m:t>t</m:t>
                  </m:r>
                </m:sub>
              </m:sSub>
              <m:r>
                <m:rPr>
                  <m:sty m:val="p"/>
                </m:rPr>
                <m:t>/</m:t>
              </m:r>
              <m:sSub>
                <m:e>
                  <m:r>
                    <m:t>L</m:t>
                  </m:r>
                </m:e>
                <m:sub>
                  <m:r>
                    <m:t>n</m:t>
                  </m:r>
                  <m:r>
                    <m:t>i</m:t>
                  </m:r>
                  <m:r>
                    <m:t>g</m:t>
                  </m:r>
                  <m:r>
                    <m:t>h</m:t>
                  </m:r>
                  <m:r>
                    <m:t>t</m:t>
                  </m:r>
                </m:sub>
              </m:sSub>
            </m:den>
          </m:f>
        </m:oMath>
      </m:oMathPara>
    </w:p>
    <w:bookmarkEnd w:id="32"/>
    <w:bookmarkStart w:id="33" w:name="X8bda55b0a4c18ba520623e5621099ffce169511"/>
    <w:p>
      <w:pPr>
        <w:pStyle w:val="Heading3"/>
      </w:pPr>
      <w:r>
        <w:rPr>
          <w:rStyle w:val="SectionNumber"/>
        </w:rPr>
        <w:t xml:space="preserve">1.2.10</w:t>
      </w:r>
      <w:r>
        <w:tab/>
      </w:r>
      <w:r>
        <w:t xml:space="preserve">Circadian Rhythmicity and Period Estimation</w:t>
      </w:r>
    </w:p>
    <w:p>
      <w:pPr>
        <w:pStyle w:val="FirstParagraph"/>
      </w:pPr>
      <w:r>
        <w:t xml:space="preserve">We used autocorrelation analysis</w:t>
      </w:r>
      <w:r>
        <w:t xml:space="preserve"> </w:t>
      </w:r>
      <w:r>
        <w:t xml:space="preserve">(</w:t>
      </w:r>
      <w:hyperlink w:anchor="ref-levine2002">
        <w:r>
          <w:rPr>
            <w:rStyle w:val="InternetLink"/>
          </w:rPr>
          <w:t xml:space="preserve">Levine et al. 2002</w:t>
        </w:r>
      </w:hyperlink>
      <w:r>
        <w:t xml:space="preserve">;</w:t>
      </w:r>
      <w:r>
        <w:t xml:space="preserve"> </w:t>
      </w:r>
      <w:hyperlink w:anchor="ref-dowse2009">
        <w:r>
          <w:rPr>
            <w:rStyle w:val="InternetLink"/>
          </w:rPr>
          <w:t xml:space="preserve">Dowse 2009</w:t>
        </w:r>
      </w:hyperlink>
      <w:r>
        <w:t xml:space="preserve">)</w:t>
      </w:r>
      <w:r>
        <w:t xml:space="preserve"> </w:t>
      </w:r>
      <w:r>
        <w:t xml:space="preserve">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w:t>
      </w:r>
      <w:r>
        <w:t xml:space="preserve"> </w:t>
      </w:r>
      <w:r>
        <w:t xml:space="preserve">(</w:t>
      </w:r>
      <w:hyperlink w:anchor="ref-dowse2009">
        <w:r>
          <w:rPr>
            <w:rStyle w:val="InternetLink"/>
          </w:rPr>
          <w:t xml:space="preserve">Dowse 2009</w:t>
        </w:r>
      </w:hyperlink>
      <w:r>
        <w:t xml:space="preserve">)</w:t>
      </w:r>
      <w:r>
        <w:t xml:space="preserve">. The robustness of the rhythm, also referred as the Rhythmicity Index (RI), is defined as the autocorrelation coefficient at the third peak of the autocorrelation plot (i.e. the height of the third peak).</w:t>
      </w:r>
    </w:p>
    <w:p>
      <w:pPr>
        <w:pStyle w:val="TextBody"/>
      </w:pPr>
      <w:r>
        <w:t xml:space="preserve">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w:t>
      </w:r>
      <w:r>
        <w:t xml:space="preserve"> </w:t>
      </w:r>
      <w:r>
        <w:t xml:space="preserve">(</w:t>
      </w:r>
      <w:hyperlink w:anchor="ref-leise2017">
        <w:r>
          <w:rPr>
            <w:rStyle w:val="InternetLink"/>
          </w:rPr>
          <w:t xml:space="preserve">Leise 2017</w:t>
        </w:r>
      </w:hyperlink>
      <w:r>
        <w:t xml:space="preserve">)</w:t>
      </w:r>
      <w:r>
        <w:t xml:space="preserve">. For comparison with the labeled data, we also calculated the RI for the unlabeled VeDBA data</w:t>
      </w:r>
    </w:p>
    <w:p>
      <w:pPr>
        <w:pStyle w:val="TextBody"/>
      </w:pPr>
      <w:r>
        <w:t xml:space="preserve">All analysis were done in R</w:t>
      </w:r>
      <w:r>
        <w:t xml:space="preserve"> </w:t>
      </w:r>
      <w:r>
        <w:t xml:space="preserve">(</w:t>
      </w:r>
      <w:hyperlink w:anchor="ref-rcoreteam2020">
        <w:r>
          <w:rPr>
            <w:rStyle w:val="InternetLink"/>
          </w:rPr>
          <w:t xml:space="preserve">R Core Team 2020</w:t>
        </w:r>
      </w:hyperlink>
      <w:r>
        <w:t xml:space="preserve">)</w:t>
      </w:r>
      <w:r>
        <w:t xml:space="preserve">. Butterworth filtering was done using the the</w:t>
      </w:r>
      <w:r>
        <w:t xml:space="preserve"> </w:t>
      </w:r>
      <w:r>
        <w:rPr>
          <w:iCs/>
          <w:i/>
        </w:rPr>
        <w:t xml:space="preserve">dlpR</w:t>
      </w:r>
      <w:r>
        <w:t xml:space="preserve"> </w:t>
      </w:r>
      <w:r>
        <w:t xml:space="preserve">package</w:t>
      </w:r>
      <w:r>
        <w:t xml:space="preserve"> </w:t>
      </w:r>
      <w:r>
        <w:t xml:space="preserve">(</w:t>
      </w:r>
      <w:hyperlink w:anchor="ref-bunn2008">
        <w:r>
          <w:rPr>
            <w:rStyle w:val="InternetLink"/>
          </w:rPr>
          <w:t xml:space="preserve">Bunn 2008</w:t>
        </w:r>
      </w:hyperlink>
      <w:r>
        <w:t xml:space="preserve">)</w:t>
      </w:r>
      <w:r>
        <w:t xml:space="preserve">. Autocorrelation function and plots were done in base R. The peaks in the autocorrelation plots were found using the</w:t>
      </w:r>
      <w:r>
        <w:t xml:space="preserve"> </w:t>
      </w:r>
      <w:r>
        <w:rPr>
          <w:iCs/>
          <w:i/>
        </w:rPr>
        <w:t xml:space="preserve">pracma</w:t>
      </w:r>
      <w:r>
        <w:t xml:space="preserve"> </w:t>
      </w:r>
      <w:r>
        <w:t xml:space="preserve">package</w:t>
      </w:r>
      <w:r>
        <w:t xml:space="preserve"> </w:t>
      </w:r>
      <w:r>
        <w:t xml:space="preserve">(</w:t>
      </w:r>
      <w:hyperlink w:anchor="ref-hansw.borchers2019">
        <w:r>
          <w:rPr>
            <w:rStyle w:val="InternetLink"/>
          </w:rPr>
          <w:t xml:space="preserve">Hans W. Borchers 2019</w:t>
        </w:r>
      </w:hyperlink>
      <w:r>
        <w:t xml:space="preserve">)</w:t>
      </w:r>
      <w:r>
        <w:t xml:space="preserve">. Lomb-Scargle periodograms were calculated using the</w:t>
      </w:r>
      <w:r>
        <w:t xml:space="preserve"> </w:t>
      </w:r>
      <w:r>
        <w:rPr>
          <w:iCs/>
          <w:i/>
        </w:rPr>
        <w:t xml:space="preserve">lomb</w:t>
      </w:r>
      <w:r>
        <w:t xml:space="preserve"> </w:t>
      </w:r>
      <w:r>
        <w:t xml:space="preserve">package</w:t>
      </w:r>
      <w:r>
        <w:t xml:space="preserve"> </w:t>
      </w:r>
      <w:r>
        <w:t xml:space="preserve">(</w:t>
      </w:r>
      <w:hyperlink w:anchor="ref-ruf1999">
        <w:r>
          <w:rPr>
            <w:rStyle w:val="InternetLink"/>
          </w:rPr>
          <w:t xml:space="preserve">Ruf 1999</w:t>
        </w:r>
      </w:hyperlink>
      <w:r>
        <w:t xml:space="preserve">)</w:t>
      </w:r>
      <w:r>
        <w:t xml:space="preserve">.</w:t>
      </w:r>
    </w:p>
    <w:bookmarkEnd w:id="33"/>
    <w:bookmarkStart w:id="34" w:name="statistical-analysis"/>
    <w:p>
      <w:pPr>
        <w:pStyle w:val="Heading3"/>
      </w:pPr>
      <w:r>
        <w:rPr>
          <w:rStyle w:val="SectionNumber"/>
        </w:rPr>
        <w:t xml:space="preserve">1.2.11</w:t>
      </w:r>
      <w:r>
        <w:tab/>
      </w:r>
      <w:r>
        <w:t xml:space="preserve">Statistical Analysis</w:t>
      </w:r>
    </w:p>
    <w:p>
      <w:pPr>
        <w:pStyle w:val="FirstParagraph"/>
      </w:pPr>
      <w:r>
        <w:t xml:space="preserve">We tested for seasonal differences in mean daily VeDBA, time spent in each state and diurnality using ANOVA followed by post-hoc Tukey-Kramer’s test. Daily Activity patterns were visualized using Gaussian kernel density estimates.</w:t>
      </w:r>
    </w:p>
    <w:p>
      <w:pPr>
        <w:pStyle w:val="TextBody"/>
      </w:pPr>
      <w:r>
        <w:t xml:space="preserve">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pPr>
      <w:r>
        <w:t xml:space="preserve">All analysis were done in R using the base packages</w:t>
      </w:r>
      <w:r>
        <w:t xml:space="preserve"> </w:t>
      </w:r>
      <w:r>
        <w:t xml:space="preserve">(</w:t>
      </w:r>
      <w:hyperlink w:anchor="ref-rcoreteam2020">
        <w:r>
          <w:rPr>
            <w:rStyle w:val="InternetLink"/>
          </w:rPr>
          <w:t xml:space="preserve">R Core Team 2020</w:t>
        </w:r>
      </w:hyperlink>
      <w:r>
        <w:t xml:space="preserve">)</w:t>
      </w:r>
      <w:r>
        <w:t xml:space="preserve">.</w:t>
      </w:r>
    </w:p>
    <w:p>
      <w:r>
        <w:br w:type="page"/>
      </w:r>
    </w:p>
    <w:bookmarkEnd w:id="34"/>
    <w:bookmarkEnd w:id="35"/>
    <w:bookmarkStart w:id="53" w:name="results"/>
    <w:p>
      <w:pPr>
        <w:pStyle w:val="Heading2"/>
      </w:pPr>
      <w:r>
        <w:rPr>
          <w:rStyle w:val="SectionNumber"/>
        </w:rPr>
        <w:t xml:space="preserve">1.3</w:t>
      </w:r>
      <w:r>
        <w:tab/>
      </w:r>
      <w:r>
        <w:t xml:space="preserve">Results</w:t>
      </w:r>
    </w:p>
    <w:p>
      <w:pPr>
        <w:pStyle w:val="FirstParagraph"/>
      </w:pPr>
      <w:r>
        <w:t xml:space="preserve">We captured and deployed collars to 20 females and 10 males. We were able to recapture 24 tuco-tucos and recover 21 collars (Table</w:t>
      </w:r>
      <w:r>
        <w:t xml:space="preserve"> </w:t>
      </w:r>
      <w:r>
        <w:t xml:space="preserve">??</w:t>
      </w:r>
      <w:r>
        <w:t xml:space="preserve">). One collar was found malfunctioning because one animal got predated. The other two lost collars fell or were taken out of the tuco-tuco’s neck between the time of capture and recapture. All 21 animals that were recaptured received a collar containing an accelerometer. However, only 13 also received a lightlogger (Table</w:t>
      </w:r>
      <w:r>
        <w:t xml:space="preserve"> </w:t>
      </w:r>
      <w:r>
        <w:t xml:space="preserve">??</w:t>
      </w:r>
      <w:r>
        <w:t xml:space="preserve">). In total, we have 13 complete datasets, with acceleration and light exposure data, and 8 datasets with acceleration only.</w:t>
      </w:r>
    </w:p>
    <w:bookmarkStart w:id="37" w:name="time-on-surface"/>
    <w:p>
      <w:pPr>
        <w:pStyle w:val="Heading3"/>
      </w:pPr>
      <w:r>
        <w:rPr>
          <w:rStyle w:val="SectionNumber"/>
        </w:rPr>
        <w:t xml:space="preserve">1.3.1</w:t>
      </w:r>
      <w:r>
        <w:tab/>
      </w:r>
      <w:r>
        <w:t xml:space="preserve">Time On Surface</w:t>
      </w:r>
    </w:p>
    <w:p>
      <w:pPr>
        <w:pStyle w:val="FirstParagraph"/>
      </w:pPr>
      <w:r>
        <w:t xml:space="preserve">Time on surface, measured by light exposure, showed a changing temporal pattern along the year. In July, the peak of surface emergences is concentrated in the middle of the day. In other seasons the peak of surface emergences is bimodal, with a higher peak in the first hours of daylight and a smaller peak at the end of daylight (Fig.</w:t>
      </w:r>
      <w:r>
        <w:t xml:space="preserve"> </w:t>
      </w:r>
      <w:r>
        <w:t xml:space="preserve">1.4</w:t>
      </w:r>
      <w:r>
        <w:t xml:space="preserve">A).</w:t>
      </w:r>
    </w:p>
    <w:p>
      <w:pPr>
        <w:pStyle w:val="TextBody"/>
      </w:pPr>
      <w:r>
        <w:t xml:space="preserve">Tuco-tucos spent an overall mean and standard deviation of 71.98 ± 29.21 minutes of the day on the surface. This corresponds to a mean percentage of the day length of 0.13 ± 0.04 in July and 0.06 ± 0.04 in February. Time on surface showed no significant annual change. The percentage of the day length spent on the surface, however, was significantly different between July and February (ANOVA; F = 4.39, p &lt; 0.05).</w:t>
      </w:r>
      <w:r>
        <w:t xml:space="preserve"> </w:t>
      </w:r>
    </w:p>
    <w:p>
      <w:pPr>
        <w:pStyle w:val="CaptionedFigure"/>
      </w:pPr>
      <w:r>
        <w:drawing>
          <wp:inline>
            <wp:extent cx="5943600" cy="5200650"/>
            <wp:effectExtent b="0" l="0" r="0" t="0"/>
            <wp:docPr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title="" id="1" name="Picture"/>
            <a:graphic>
              <a:graphicData uri="http://schemas.openxmlformats.org/drawingml/2006/picture">
                <pic:pic>
                  <pic:nvPicPr>
                    <pic:cNvPr descr="tese_jefferson_files/figure-docx/plot-light-exposure-1.png" id="0" name="Picture"/>
                    <pic:cNvPicPr>
                      <a:picLocks noChangeArrowheads="1" noChangeAspect="1"/>
                    </pic:cNvPicPr>
                  </pic:nvPicPr>
                  <pic:blipFill>
                    <a:blip r:embed="rId3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w:t>
      </w:r>
    </w:p>
    <w:bookmarkEnd w:id="37"/>
    <w:bookmarkStart w:id="39" w:name="general-activity"/>
    <w:p>
      <w:pPr>
        <w:pStyle w:val="Heading3"/>
      </w:pPr>
      <w:r>
        <w:rPr>
          <w:rStyle w:val="SectionNumber"/>
        </w:rPr>
        <w:t xml:space="preserve">1.3.2</w:t>
      </w:r>
      <w:r>
        <w:tab/>
      </w:r>
      <w:r>
        <w:t xml:space="preserve">General Activity</w:t>
      </w:r>
    </w:p>
    <w:p>
      <w:pPr>
        <w:pStyle w:val="FirstParagraph"/>
      </w:pPr>
      <w:r>
        <w:t xml:space="preserve">Tuco-tuco’s daily activity levels (24-hour average), measured by VeDBA, are significantly different across the year (ANOVA; F = 7.182, p &lt; 0.01; Figure</w:t>
      </w:r>
      <w:r>
        <w:t xml:space="preserve"> </w:t>
      </w:r>
      <w:r>
        <w:t xml:space="preserve">1.5</w:t>
      </w:r>
      <w:r>
        <w:t xml:space="preserve">).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w:t>
      </w:r>
      <w:r>
        <w:t xml:space="preserve"> </w:t>
      </w:r>
      <w:r>
        <w:t xml:space="preserve">1.5</w:t>
      </w:r>
      <w:r>
        <w:t xml:space="preserve">).</w:t>
      </w:r>
    </w:p>
    <w:p>
      <w:pPr>
        <w:pStyle w:val="TextBody"/>
      </w:pPr>
      <w:r>
        <w:t xml:space="preserve">The daytime VeDBA (Light Phase Average) is also significantly different between months (ANOVA; F = 7.282, p &lt; 0.001). Post hoc comparisons using Tukey-Kramer’s Test shows a difference in mean of 0.035 between October-July only (p &lt; 0.05).</w:t>
      </w:r>
      <w:r>
        <w:t xml:space="preserve"> </w:t>
      </w:r>
    </w:p>
    <w:p>
      <w:pPr>
        <w:pStyle w:val="CaptionedFigure"/>
      </w:pPr>
      <w:r>
        <w:drawing>
          <wp:inline>
            <wp:extent cx="5943600" cy="2377440"/>
            <wp:effectExtent b="0" l="0" r="0" t="0"/>
            <wp:docPr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title="" id="1" name="Picture"/>
            <a:graphic>
              <a:graphicData uri="http://schemas.openxmlformats.org/drawingml/2006/picture">
                <pic:pic>
                  <pic:nvPicPr>
                    <pic:cNvPr descr="tese_jefferson_files/figure-docx/vedba-boxplot-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p>
    <w:bookmarkEnd w:id="39"/>
    <w:bookmarkStart w:id="42" w:name="activity-state-classification"/>
    <w:p>
      <w:pPr>
        <w:pStyle w:val="Heading3"/>
      </w:pPr>
      <w:r>
        <w:rPr>
          <w:rStyle w:val="SectionNumber"/>
        </w:rPr>
        <w:t xml:space="preserve">1.3.3</w:t>
      </w:r>
      <w:r>
        <w:tab/>
      </w:r>
      <w:r>
        <w:t xml:space="preserve">Activity State Classification</w:t>
      </w:r>
    </w:p>
    <w:p>
      <w:pPr>
        <w:pStyle w:val="FirstParagraph"/>
      </w:pPr>
      <w:r>
        <w:t xml:space="preserve">We fitted two different HMMs to VeDBA data, one empty model, with no covariates, and a second one with</w:t>
      </w:r>
      <w:r>
        <w:t xml:space="preserve"> </w:t>
      </w:r>
      <w:r>
        <w:rPr>
          <w:iCs/>
          <w:i/>
        </w:rPr>
        <w:t xml:space="preserve">‘</w:t>
      </w:r>
      <w:r>
        <w:rPr>
          <w:iCs/>
          <w:i/>
        </w:rPr>
        <w:t xml:space="preserve">season</w:t>
      </w:r>
      <w:r>
        <w:rPr>
          <w:iCs/>
          <w:i/>
        </w:rPr>
        <w:t xml:space="preserve">’</w:t>
      </w:r>
      <w:r>
        <w:t xml:space="preserve"> </w:t>
      </w:r>
      <w:r>
        <w:t xml:space="preserve">as a covariate in the transition probability matrix. The second model was selected based on informational criterion (</w:t>
      </w:r>
      <m:oMath>
        <m:r>
          <m:t>Δ</m:t>
        </m:r>
      </m:oMath>
      <w:r>
        <w:t xml:space="preserve">AIC &gt; 2; REF Tabela AIC nos supps).</w:t>
      </w:r>
    </w:p>
    <w:p>
      <w:pPr>
        <w:pStyle w:val="TextBody"/>
      </w:pPr>
      <w:r>
        <w:t xml:space="preserve">The estimated state-dependent distributions are shown in Figure</w:t>
      </w:r>
      <w:r>
        <w:t xml:space="preserve"> </w:t>
      </w:r>
      <w:r>
        <w:t xml:space="preserve">1.6</w:t>
      </w:r>
      <w:r>
        <w:t xml:space="preserve">. We interpreted and labelled these states as</w:t>
      </w:r>
      <w:r>
        <w:t xml:space="preserve"> </w:t>
      </w:r>
      <w:r>
        <w:t xml:space="preserve">‘</w:t>
      </w:r>
      <w:r>
        <w:t xml:space="preserve">Rest,</w:t>
      </w:r>
      <w:r>
        <w:t xml:space="preserve">’</w:t>
      </w:r>
      <w:r>
        <w:t xml:space="preserve"> </w:t>
      </w:r>
      <w:r>
        <w:t xml:space="preserve">‘</w:t>
      </w:r>
      <w:r>
        <w:t xml:space="preserve">Medium intensity activity,</w:t>
      </w:r>
      <w:r>
        <w:t xml:space="preserve">’</w:t>
      </w:r>
      <w:r>
        <w:t xml:space="preserve"> </w:t>
      </w:r>
      <w:r>
        <w:t xml:space="preserve">and</w:t>
      </w:r>
      <w:r>
        <w:t xml:space="preserve"> </w:t>
      </w:r>
      <w:r>
        <w:t xml:space="preserve">‘</w:t>
      </w:r>
      <w:r>
        <w:t xml:space="preserve">High intensity activity</w:t>
      </w:r>
      <w:r>
        <w:t xml:space="preserve">’</w:t>
      </w:r>
      <w:r>
        <w:t xml:space="preserve"> </w:t>
      </w:r>
      <w:r>
        <w:t xml:space="preserve">corresponding to low, intermediate, and high VeDBA values respectively. The marginal distribution (Figure</w:t>
      </w:r>
      <w:r>
        <w:t xml:space="preserve"> </w:t>
      </w:r>
      <w:r>
        <w:t xml:space="preserve">1.6</w:t>
      </w:r>
      <w:r>
        <w:t xml:space="preserve">; dashed line) has a good correspondence to the empirical VeDBA distribution. A visual analysis of the Pseudo-residuals (Figure</w:t>
      </w:r>
      <w:r>
        <w:t xml:space="preserve"> </w:t>
      </w:r>
      <w:r>
        <w:t xml:space="preserve">??</w:t>
      </w:r>
      <w:r>
        <w:t xml:space="preserve">)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w:t>
      </w:r>
      <w:r>
        <w:t xml:space="preserve"> </w:t>
      </w:r>
      <w:r>
        <w:t xml:space="preserve">??</w:t>
      </w:r>
      <w:r>
        <w:t xml:space="preserve">).</w:t>
      </w:r>
      <w:r>
        <w:t xml:space="preserve"> </w:t>
      </w:r>
    </w:p>
    <w:p>
      <w:pPr>
        <w:pStyle w:val="CaptionedFigure"/>
      </w:pPr>
      <w:r>
        <w:drawing>
          <wp:inline>
            <wp:extent cx="5943600" cy="2971800"/>
            <wp:effectExtent b="0" l="0" r="0" t="0"/>
            <wp:docPr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title="" id="1" name="Picture"/>
            <a:graphic>
              <a:graphicData uri="http://schemas.openxmlformats.org/drawingml/2006/picture">
                <pic:pic>
                  <pic:nvPicPr>
                    <pic:cNvPr descr="tese_jefferson_files/figure-docx/hmm-plot-1.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pPr>
      <w:r>
        <w:t xml:space="preserve">With the state-labeled data we were able to dissociate and visualize the daily patterns of each different state. Actograms and time series plots show how the different states are related to the calculated VeDBA (Figure</w:t>
      </w:r>
      <w:r>
        <w:t xml:space="preserve"> </w:t>
      </w:r>
      <w:r>
        <w:t xml:space="preserve">1.7</w:t>
      </w:r>
      <w:r>
        <w:t xml:space="preserve">). Visual analysis of diel rhythms in VeDBA and in the state-labelled data indicates the daily rhythm is more robust in the High Activity state in comparison to Medium Activity.</w:t>
      </w:r>
    </w:p>
    <w:p>
      <w:pPr>
        <w:pStyle w:val="TextBody"/>
      </w:pPr>
      <w:r>
        <w:t xml:space="preserve">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w:t>
      </w:r>
      <w:r>
        <w:t xml:space="preserve"> </w:t>
      </w:r>
      <w:r>
        <w:t xml:space="preserve">??</w:t>
      </w:r>
      <w:r>
        <w:t xml:space="preserve">).</w:t>
      </w:r>
      <w:r>
        <w:t xml:space="preserve"> </w:t>
      </w:r>
    </w:p>
    <w:p>
      <w:pPr>
        <w:pStyle w:val="CaptionedFigure"/>
      </w:pPr>
      <w:r>
        <w:drawing>
          <wp:inline>
            <wp:extent cx="5943600" cy="3343275"/>
            <wp:effectExtent b="0" l="0" r="0" t="0"/>
            <wp:docPr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title="" id="1" name="Picture"/>
            <a:graphic>
              <a:graphicData uri="http://schemas.openxmlformats.org/drawingml/2006/picture">
                <pic:pic>
                  <pic:nvPicPr>
                    <pic:cNvPr descr="tese_jefferson_files/figure-docx/actograms-results-1.png" id="0" name="Picture"/>
                    <pic:cNvPicPr>
                      <a:picLocks noChangeArrowheads="1" noChangeAspect="1"/>
                    </pic:cNvPicPr>
                  </pic:nvPicPr>
                  <pic:blipFill>
                    <a:blip r:embed="rId4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p>
    <w:bookmarkEnd w:id="42"/>
    <w:bookmarkStart w:id="44" w:name="daily-time-activity-budgets"/>
    <w:p>
      <w:pPr>
        <w:pStyle w:val="Heading3"/>
      </w:pPr>
      <w:r>
        <w:rPr>
          <w:rStyle w:val="SectionNumber"/>
        </w:rPr>
        <w:t xml:space="preserve">1.3.4</w:t>
      </w:r>
      <w:r>
        <w:tab/>
      </w:r>
      <w:r>
        <w:t xml:space="preserve">Daily Time-Activity Budgets</w:t>
      </w:r>
    </w:p>
    <w:p>
      <w:pPr>
        <w:pStyle w:val="FirstParagraph"/>
      </w:pPr>
      <w:r>
        <w:t xml:space="preserve">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pPr>
      <w:r>
        <w:t xml:space="preserve">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w:t>
      </w:r>
      <w:r>
        <w:t xml:space="preserve"> </w:t>
      </w:r>
      <w:r>
        <w:t xml:space="preserve">1.8</w:t>
      </w:r>
      <w:r>
        <w:t xml:space="preserve">; ANOVA: F = 4.457, p = 0.0175) and High Activity State across seasons (Figure</w:t>
      </w:r>
      <w:r>
        <w:t xml:space="preserve"> </w:t>
      </w:r>
      <w:r>
        <w:t xml:space="preserve">1.8</w:t>
      </w:r>
      <w:r>
        <w:t xml:space="preserve">;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w:t>
      </w:r>
      <w:r>
        <w:t xml:space="preserve"> </w:t>
      </w:r>
      <w:r>
        <w:t xml:space="preserve">1.8</w:t>
      </w:r>
      <w:r>
        <w:t xml:space="preserve">).</w:t>
      </w:r>
    </w:p>
    <w:p>
      <w:pPr>
        <w:pStyle w:val="CaptionedFigure"/>
      </w:pPr>
      <w:r>
        <w:drawing>
          <wp:inline>
            <wp:extent cx="5943600" cy="5943600"/>
            <wp:effectExtent b="0" l="0" r="0" t="0"/>
            <wp:docPr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title="" id="1" name="Picture"/>
            <a:graphic>
              <a:graphicData uri="http://schemas.openxmlformats.org/drawingml/2006/picture">
                <pic:pic>
                  <pic:nvPicPr>
                    <pic:cNvPr descr="tese_jefferson_files/figure-docx/plot-time-state-1.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r>
        <w:br w:type="page"/>
      </w:r>
    </w:p>
    <w:bookmarkEnd w:id="44"/>
    <w:bookmarkStart w:id="46" w:name="daily-activity-patterns"/>
    <w:p>
      <w:pPr>
        <w:pStyle w:val="Heading3"/>
      </w:pPr>
      <w:r>
        <w:rPr>
          <w:rStyle w:val="SectionNumber"/>
        </w:rPr>
        <w:t xml:space="preserve">1.3.5</w:t>
      </w:r>
      <w:r>
        <w:tab/>
      </w:r>
      <w:r>
        <w:t xml:space="preserve">Daily Activity Patterns</w:t>
      </w:r>
    </w:p>
    <w:p>
      <w:pPr>
        <w:pStyle w:val="FirstParagraph"/>
      </w:pPr>
      <w:r>
        <w:t xml:space="preserve">Daily activity patterns for each behavioral state are shown in Figure</w:t>
      </w:r>
      <w:r>
        <w:t xml:space="preserve"> </w:t>
      </w:r>
      <w:r>
        <w:t xml:space="preserve">1.9</w:t>
      </w:r>
      <w:r>
        <w:t xml:space="preserve">.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numPr>
          <w:ilvl w:val="0"/>
          <w:numId w:val="1002"/>
        </w:numPr>
        <w:pStyle w:val="Compact"/>
      </w:pPr>
      <w:r>
        <w:t xml:space="preserve">REF calculate peak</w:t>
      </w:r>
    </w:p>
    <w:p>
      <w:pPr>
        <w:numPr>
          <w:ilvl w:val="0"/>
          <w:numId w:val="1002"/>
        </w:numPr>
        <w:pStyle w:val="Compact"/>
      </w:pPr>
      <w:r>
        <w:t xml:space="preserve">REF adicionar linha do meio dia solar</w:t>
      </w:r>
    </w:p>
    <w:p>
      <w:r>
        <w:br w:type="page"/>
      </w:r>
    </w:p>
    <w:p>
      <w:pPr>
        <w:pStyle w:val="CaptionedFigure"/>
      </w:pPr>
      <w:r>
        <w:drawing>
          <wp:inline>
            <wp:extent cx="5943600" cy="8915400"/>
            <wp:effectExtent b="0" l="0" r="0" t="0"/>
            <wp:docPr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title="" id="1" name="Picture"/>
            <a:graphic>
              <a:graphicData uri="http://schemas.openxmlformats.org/drawingml/2006/picture">
                <pic:pic>
                  <pic:nvPicPr>
                    <pic:cNvPr descr="tese_jefferson_files/figure-docx/plot-patterns-1.png" id="0" name="Picture"/>
                    <pic:cNvPicPr>
                      <a:picLocks noChangeArrowheads="1" noChangeAspect="1"/>
                    </pic:cNvPicPr>
                  </pic:nvPicPr>
                  <pic:blipFill>
                    <a:blip r:embed="rId45"/>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p>
    <w:bookmarkEnd w:id="46"/>
    <w:bookmarkStart w:id="48" w:name="aboveground-activity"/>
    <w:p>
      <w:pPr>
        <w:pStyle w:val="Heading3"/>
      </w:pPr>
      <w:r>
        <w:rPr>
          <w:rStyle w:val="SectionNumber"/>
        </w:rPr>
        <w:t xml:space="preserve">1.3.6</w:t>
      </w:r>
      <w:r>
        <w:tab/>
      </w:r>
      <w:r>
        <w:t xml:space="preserve">Aboveground Activity</w:t>
      </w:r>
    </w:p>
    <w:p>
      <w:pPr>
        <w:pStyle w:val="FirstParagraph"/>
      </w:pPr>
      <w:r>
        <w:t xml:space="preserve">Outside of their tunnels, when exposed to light, tuco-tucos are mostly in a active state, either high or medium state (Fig.</w:t>
      </w:r>
      <w:r>
        <w:t xml:space="preserve"> </w:t>
      </w:r>
      <w:r>
        <w:t xml:space="preserve">1.10</w:t>
      </w:r>
      <w:r>
        <w:t xml:space="preserve">). The percentage of the high activity state that occurs on the surface is higher than the other activity states. The mean percentage of the high state that occurs aboveground is 0.15, whether for the medium state the mean is 0.05. Rest, in contrast, is the behavioral state that happens the least on the surface with a mean percentage of 0.01.</w:t>
      </w:r>
    </w:p>
    <w:p>
      <w:pPr>
        <w:numPr>
          <w:ilvl w:val="0"/>
          <w:numId w:val="1003"/>
        </w:numPr>
        <w:pStyle w:val="Compact"/>
      </w:pPr>
      <w:r>
        <w:t xml:space="preserve">aqui ainda falta um teste. Precisa ser um não parametrico ou test-t dois a dois. O ANOVA não cabe nesses dados.</w:t>
      </w:r>
    </w:p>
    <w:p>
      <w:pPr>
        <w:pStyle w:val="CaptionedFigure"/>
      </w:pPr>
      <w:r>
        <w:drawing>
          <wp:inline>
            <wp:extent cx="5943600" cy="2971800"/>
            <wp:effectExtent b="0" l="0" r="0" t="0"/>
            <wp:docPr descr="Figure 1.10: Distribution of the percentages of each activity state that happens aboveground during daytime." title="" id="1" name="Picture"/>
            <a:graphic>
              <a:graphicData uri="http://schemas.openxmlformats.org/drawingml/2006/picture">
                <pic:pic>
                  <pic:nvPicPr>
                    <pic:cNvPr descr="tese_jefferson_files/figure-docx/aboveground-activity-1.png" id="0"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1.10: Distribution of the percentages of each activity state that happens aboveground during daytime.</w:t>
      </w:r>
    </w:p>
    <w:p>
      <w:r>
        <w:br w:type="page"/>
      </w:r>
    </w:p>
    <w:bookmarkEnd w:id="48"/>
    <w:bookmarkStart w:id="50" w:name="diurnality"/>
    <w:p>
      <w:pPr>
        <w:pStyle w:val="Heading3"/>
      </w:pPr>
      <w:r>
        <w:rPr>
          <w:rStyle w:val="SectionNumber"/>
        </w:rPr>
        <w:t xml:space="preserve">1.3.7</w:t>
      </w:r>
      <w:r>
        <w:tab/>
      </w:r>
      <w:r>
        <w:t xml:space="preserve">Diurnality</w:t>
      </w:r>
    </w:p>
    <w:p>
      <w:pPr>
        <w:pStyle w:val="FirstParagraph"/>
      </w:pPr>
      <w: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w:t>
      </w:r>
      <w:r>
        <w:t xml:space="preserve"> </w:t>
      </w:r>
      <w:r>
        <w:t xml:space="preserve">1.11</w:t>
      </w:r>
      <w:r>
        <w:t xml:space="preserve">).</w:t>
      </w:r>
      <w:r>
        <w:t xml:space="preserve"> </w:t>
      </w:r>
    </w:p>
    <w:p>
      <w:pPr>
        <w:pStyle w:val="CaptionedFigure"/>
      </w:pPr>
      <w:r>
        <w:drawing>
          <wp:inline>
            <wp:extent cx="5943600" cy="2375892"/>
            <wp:effectExtent b="0" l="0" r="0" t="0"/>
            <wp:docPr descr="Figure 1.11: Distribution of calculated diurnality index (DI). Between labelled states, only the High Activity State is predominantly diurnal, with diurnality greater than 0.7 across all season. General activity, measured by the unlabelled VeDBA, is also predominantly diurnal," title="" id="1" name="Picture"/>
            <a:graphic>
              <a:graphicData uri="http://schemas.openxmlformats.org/drawingml/2006/picture">
                <pic:pic>
                  <pic:nvPicPr>
                    <pic:cNvPr descr="tese_jefferson_files/figure-docx/diurnality-plot-1.png" id="0" name="Picture"/>
                    <pic:cNvPicPr>
                      <a:picLocks noChangeArrowheads="1" noChangeAspect="1"/>
                    </pic:cNvPicPr>
                  </pic:nvPicPr>
                  <pic:blipFill>
                    <a:blip r:embed="rId49"/>
                    <a:stretch>
                      <a:fillRect/>
                    </a:stretch>
                  </pic:blipFill>
                  <pic:spPr bwMode="auto">
                    <a:xfrm>
                      <a:off x="0" y="0"/>
                      <a:ext cx="5943600" cy="2375892"/>
                    </a:xfrm>
                    <a:prstGeom prst="rect">
                      <a:avLst/>
                    </a:prstGeom>
                    <a:noFill/>
                    <a:ln w="9525">
                      <a:noFill/>
                      <a:headEnd/>
                      <a:tailEnd/>
                    </a:ln>
                  </pic:spPr>
                </pic:pic>
              </a:graphicData>
            </a:graphic>
          </wp:inline>
        </w:drawing>
      </w:r>
    </w:p>
    <w:p>
      <w:pPr>
        <w:pStyle w:val="ImageCaption"/>
      </w:pPr>
      <w:r>
        <w:t xml:space="preserve">Figure 1.11: Distribution of calculated diurnality index (DI). Between labelled states, only the High Activity State is predominantly diurnal, with diurnality greater than 0.7 across all season. General activity, measured by the unlabelled VeDBA, is also predominantly diurnal,</w:t>
      </w:r>
    </w:p>
    <w:p>
      <w:r>
        <w:br w:type="page"/>
      </w:r>
    </w:p>
    <w:bookmarkEnd w:id="50"/>
    <w:bookmarkStart w:id="52" w:name="circadian-rhythmicity"/>
    <w:p>
      <w:pPr>
        <w:pStyle w:val="Heading3"/>
      </w:pPr>
      <w:r>
        <w:rPr>
          <w:rStyle w:val="SectionNumber"/>
        </w:rPr>
        <w:t xml:space="preserve">1.3.8</w:t>
      </w:r>
      <w:r>
        <w:tab/>
      </w:r>
      <w:r>
        <w:t xml:space="preserve">Circadian Rhythmicity</w:t>
      </w:r>
    </w:p>
    <w:p>
      <w:pPr>
        <w:pStyle w:val="FirstParagraph"/>
      </w:pPr>
      <w:r>
        <w:t xml:space="preserve">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pPr>
      <w:r>
        <w:t xml:space="preserve">We calculated the RI only for animals classified as rhythmic (Figure</w:t>
      </w:r>
      <w:r>
        <w:t xml:space="preserve"> </w:t>
      </w:r>
      <w:r>
        <w:t xml:space="preserve">1.12</w:t>
      </w:r>
      <w:r>
        <w:t xml:space="preserve">A). It is important to note that animals classified as arrhythmic were excluded from this analysis, which is why there is a different number of samples between each category. Nonetheless, the Medium Activity State is significantly different from the other states and VeDBA (Figure</w:t>
      </w:r>
      <w:r>
        <w:t xml:space="preserve"> </w:t>
      </w:r>
      <w:r>
        <w:t xml:space="preserve">1.12</w:t>
      </w:r>
      <w:r>
        <w:t xml:space="preserve">A; ANOVA; p &lt; 0.05). We did not test for differences between seasons (See Methods).</w:t>
      </w:r>
    </w:p>
    <w:p>
      <w:pPr>
        <w:pStyle w:val="TextBody"/>
      </w:pPr>
      <w:r>
        <w:t xml:space="preserve">Lastly, we used Lomb-Scargle periodograms to estimate the periodicity of each state (Figure</w:t>
      </w:r>
      <w:r>
        <w:t xml:space="preserve"> </w:t>
      </w:r>
      <w:r>
        <w:t xml:space="preserve">1.12</w:t>
      </w:r>
      <w:r>
        <w:t xml:space="preserve">B). All estimated periods, independent of state, were in the 24-hour range. The high activity state has a mean period ± standard deviation of 23.87h ± 0.34. The medium activity state has a mean period of 23.91h ± 1.22.</w:t>
      </w:r>
    </w:p>
    <w:p>
      <w:pPr>
        <w:pStyle w:val="TextBody"/>
      </w:pPr>
      <w:r>
        <w:t xml:space="preserve">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w:t>
      </w:r>
      <w:r>
        <w:t xml:space="preserve"> </w:t>
      </w:r>
      <w:r>
        <w:t xml:space="preserve">1.12</w:t>
      </w:r>
      <w:r>
        <w:t xml:space="preserve"> </w:t>
      </w:r>
      <w:r>
        <w:t xml:space="preserve">A). For VeDBA the mean estimated period was 23.91h ± 0.31.</w:t>
      </w:r>
    </w:p>
    <w:p>
      <w:pPr>
        <w:pStyle w:val="CaptionedFigure"/>
      </w:pPr>
      <w:r>
        <w:drawing>
          <wp:inline>
            <wp:extent cx="5943600" cy="5094514"/>
            <wp:effectExtent b="0" l="0" r="0" t="0"/>
            <wp:docPr descr="Figure 1.12: Distribution of Rhythmicity Index for state-labelled data and VeDBA. The distribution of the Medium State is statistically different from all other states and VeDBA. Graphs shows half boxplots and individual data" title="" id="1" name="Picture"/>
            <a:graphic>
              <a:graphicData uri="http://schemas.openxmlformats.org/drawingml/2006/picture">
                <pic:pic>
                  <pic:nvPicPr>
                    <pic:cNvPr descr="tese_jefferson_files/figure-docx/plot-ri-and-period-1.png" id="0" name="Picture"/>
                    <pic:cNvPicPr>
                      <a:picLocks noChangeArrowheads="1" noChangeAspect="1"/>
                    </pic:cNvPicPr>
                  </pic:nvPicPr>
                  <pic:blipFill>
                    <a:blip r:embed="rId51"/>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1.12: Distribution of Rhythmicity Index for state-labelled data and VeDBA. The distribution of the Medium State is statistically different from all other states and VeDBA. Graphs shows half boxplots and individual data</w:t>
      </w:r>
    </w:p>
    <w:p>
      <w:r>
        <w:br w:type="page"/>
      </w:r>
    </w:p>
    <w:bookmarkEnd w:id="52"/>
    <w:bookmarkEnd w:id="53"/>
    <w:bookmarkStart w:id="54" w:name="discussion"/>
    <w:p>
      <w:pPr>
        <w:pStyle w:val="Heading2"/>
      </w:pPr>
      <w:r>
        <w:rPr>
          <w:rStyle w:val="SectionNumber"/>
        </w:rPr>
        <w:t xml:space="preserve">1.4</w:t>
      </w:r>
      <w:r>
        <w:tab/>
      </w:r>
      <w:r>
        <w:t xml:space="preserve">Discussion</w:t>
      </w:r>
    </w:p>
    <w:p>
      <w:pPr>
        <w:numPr>
          <w:ilvl w:val="0"/>
          <w:numId w:val="1004"/>
        </w:numPr>
      </w:pPr>
      <w:r>
        <w:t xml:space="preserve">mencionar que tudo que é medido foi a primeira vez em vida livre</w:t>
      </w:r>
    </w:p>
    <w:p>
      <w:pPr>
        <w:numPr>
          <w:ilvl w:val="0"/>
          <w:numId w:val="1004"/>
        </w:numPr>
      </w:pPr>
      <w:r>
        <w:t xml:space="preserve">Optamos pelo tipo de modelos mais simples com outras a analises a posteriori. Existem outros métodos interessantes Patterson 2009. Extensions to out model could include (…)</w:t>
      </w:r>
    </w:p>
    <w:p>
      <w:pPr>
        <w:numPr>
          <w:ilvl w:val="1"/>
          <w:numId w:val="1005"/>
        </w:numPr>
        <w:pStyle w:val="Compact"/>
      </w:pPr>
      <w:r>
        <w:t xml:space="preserve">selecionamos os fatores mais relevantes baseados nas analises exploratorias</w:t>
      </w:r>
    </w:p>
    <w:p>
      <w:pPr>
        <w:numPr>
          <w:ilvl w:val="0"/>
          <w:numId w:val="1004"/>
        </w:numPr>
      </w:pPr>
      <w:r>
        <w:t xml:space="preserve">limitações dos dados de lightlogger: não sabemos se os picos podem se extender durante a noite tbm.</w:t>
      </w:r>
    </w:p>
    <w:p>
      <w:pPr>
        <w:numPr>
          <w:ilvl w:val="0"/>
          <w:numId w:val="1004"/>
        </w:numPr>
      </w:pPr>
      <w:r>
        <w:t xml:space="preserve">discutir as semelhancas entre arena e freeliving</w:t>
      </w:r>
    </w:p>
    <w:p>
      <w:pPr>
        <w:numPr>
          <w:ilvl w:val="1"/>
          <w:numId w:val="1006"/>
        </w:numPr>
        <w:pStyle w:val="Compact"/>
      </w:pPr>
      <w:r>
        <w:t xml:space="preserve">o padrão é igual, explicar o que foi visto nas arenas</w:t>
      </w:r>
    </w:p>
    <w:p>
      <w:pPr>
        <w:numPr>
          <w:ilvl w:val="0"/>
          <w:numId w:val="1004"/>
        </w:numPr>
      </w:pPr>
      <w:r>
        <w:t xml:space="preserve">diferença ritmicidade vedba vs estados na ritmicidade</w:t>
      </w:r>
    </w:p>
    <w:p>
      <w:pPr>
        <w:numPr>
          <w:ilvl w:val="0"/>
          <w:numId w:val="1004"/>
        </w:numPr>
      </w:pPr>
      <w:r>
        <w:t xml:space="preserve">falar que nem sempre o HMM é ideal para ritmicidade e diurnalidade</w:t>
      </w:r>
    </w:p>
    <w:p>
      <w:pPr>
        <w:numPr>
          <w:ilvl w:val="0"/>
          <w:numId w:val="1004"/>
        </w:numPr>
      </w:pPr>
      <w:r>
        <w:t xml:space="preserve">uma boa mensagem para deixar pro futuro</w:t>
      </w:r>
    </w:p>
    <w:p>
      <w:pPr>
        <w:numPr>
          <w:ilvl w:val="0"/>
          <w:numId w:val="1004"/>
        </w:numPr>
      </w:pPr>
      <w:r>
        <w:t xml:space="preserve">reler artigo catemeralidade</w:t>
      </w:r>
    </w:p>
    <w:p>
      <w:pPr>
        <w:numPr>
          <w:ilvl w:val="1"/>
          <w:numId w:val="1007"/>
        </w:numPr>
      </w:pPr>
      <w:r>
        <w:t xml:space="preserve">nesse artigo foi percebido varios bouts de atividades</w:t>
      </w:r>
    </w:p>
    <w:p>
      <w:pPr>
        <w:numPr>
          <w:ilvl w:val="1"/>
          <w:numId w:val="1007"/>
        </w:numPr>
      </w:pPr>
      <w:r>
        <w:t xml:space="preserve">tamiris: while not on the wheel they are doing different things</w:t>
      </w:r>
    </w:p>
    <w:p>
      <w:pPr>
        <w:numPr>
          <w:ilvl w:val="2"/>
          <w:numId w:val="1008"/>
        </w:numPr>
        <w:pStyle w:val="Compact"/>
      </w:pPr>
      <w:r>
        <w:t xml:space="preserve">não podemos assumir que quando nao está na roda ele está parado</w:t>
      </w:r>
    </w:p>
    <w:p>
      <w:pPr>
        <w:numPr>
          <w:ilvl w:val="2"/>
          <w:numId w:val="1008"/>
        </w:numPr>
        <w:pStyle w:val="Compact"/>
      </w:pPr>
      <w:r>
        <w:t xml:space="preserve">erkert artigo + voles lehmann (trabalhos de catemeralidade)</w:t>
      </w:r>
    </w:p>
    <w:p>
      <w:pPr>
        <w:numPr>
          <w:ilvl w:val="2"/>
          <w:numId w:val="1008"/>
        </w:numPr>
        <w:pStyle w:val="Compact"/>
      </w:pPr>
      <w:r>
        <w:t xml:space="preserve">esse ponto é essencial para conectar com o que o HMM fez</w:t>
      </w:r>
    </w:p>
    <w:p>
      <w:pPr>
        <w:numPr>
          <w:ilvl w:val="2"/>
          <w:numId w:val="1008"/>
        </w:numPr>
        <w:pStyle w:val="Compact"/>
      </w:pPr>
      <w:r>
        <w:t xml:space="preserve">HMM trouxe a tona outros ritmos presentes ao longo de todo dia + o componente circadiano que tbm vemos na roda, p.e.</w:t>
      </w:r>
    </w:p>
    <w:p>
      <w:pPr>
        <w:numPr>
          <w:ilvl w:val="2"/>
          <w:numId w:val="1008"/>
        </w:numPr>
        <w:pStyle w:val="Compact"/>
      </w:pPr>
      <w:r>
        <w:t xml:space="preserve">tbm falar que não era possível medir -&gt; tecnologias diferentes.</w:t>
      </w:r>
    </w:p>
    <w:p>
      <w:pPr>
        <w:numPr>
          <w:ilvl w:val="0"/>
          <w:numId w:val="1004"/>
        </w:numPr>
      </w:pPr>
      <w:r>
        <w:t xml:space="preserve">Deixar os eixos como Atividade Geral (VeDBA)</w:t>
      </w:r>
    </w:p>
    <w:p>
      <w:pPr>
        <w:numPr>
          <w:ilvl w:val="1"/>
          <w:numId w:val="1009"/>
        </w:numPr>
        <w:pStyle w:val="Compact"/>
      </w:pPr>
      <w:r>
        <w:t xml:space="preserve">colocar apenas na legenda que atividade geral é medida pelo VeDBA</w:t>
      </w:r>
    </w:p>
    <w:p>
      <w:pPr>
        <w:numPr>
          <w:ilvl w:val="0"/>
          <w:numId w:val="1004"/>
        </w:numPr>
      </w:pPr>
      <w:r>
        <w:t xml:space="preserve">Erkert, H.G.; Cramer B. 2006. Chronobiological background to cathemerality: circadian rhythms in Eulemur fulvus albifrons (Prosimili) and Aotus azarai boliviensis (Anthropoidea). Folia Primatologica 77: 87–113.</w:t>
      </w:r>
    </w:p>
    <w:p>
      <w:pPr>
        <w:numPr>
          <w:ilvl w:val="0"/>
          <w:numId w:val="1004"/>
        </w:numPr>
      </w:pPr>
      <w:r>
        <w:t xml:space="preserve">lehmann</w:t>
      </w:r>
    </w:p>
    <w:p>
      <w:pPr>
        <w:numPr>
          <w:ilvl w:val="0"/>
          <w:numId w:val="1004"/>
        </w:numPr>
      </w:pPr>
      <w:r>
        <w:t xml:space="preserve">A atividade</w:t>
      </w:r>
      <w:r>
        <w:t xml:space="preserve"> </w:t>
      </w:r>
      <w:r>
        <w:t xml:space="preserve">“</w:t>
      </w:r>
      <w:r>
        <w:t xml:space="preserve">catemera</w:t>
      </w:r>
      <w:r>
        <w:t xml:space="preserve">”</w:t>
      </w:r>
      <w:r>
        <w:t xml:space="preserve"> </w:t>
      </w:r>
      <w:r>
        <w:t xml:space="preserve">não era prevista então isso é uma coisa interessante</w:t>
      </w:r>
    </w:p>
    <w:p>
      <w:pPr>
        <w:numPr>
          <w:ilvl w:val="1"/>
          <w:numId w:val="1010"/>
        </w:numPr>
        <w:pStyle w:val="Compact"/>
      </w:pPr>
      <w:r>
        <w:t xml:space="preserve">falar que é novo e interessante</w:t>
      </w:r>
    </w:p>
    <w:p>
      <w:pPr>
        <w:numPr>
          <w:ilvl w:val="1"/>
          <w:numId w:val="1010"/>
        </w:numPr>
        <w:pStyle w:val="Compact"/>
      </w:pPr>
      <w:r>
        <w:t xml:space="preserve">tudo isso foi medido pq fomos ao campo</w:t>
      </w:r>
    </w:p>
    <w:p>
      <w:pPr>
        <w:numPr>
          <w:ilvl w:val="1"/>
          <w:numId w:val="1010"/>
        </w:numPr>
        <w:pStyle w:val="Compact"/>
      </w:pPr>
      <w:r>
        <w:t xml:space="preserve">“</w:t>
      </w:r>
      <w:r>
        <w:t xml:space="preserve">qual a relacao entre o circadiano e os ultradianos?</w:t>
      </w:r>
      <w:r>
        <w:t xml:space="preserve">”</w:t>
      </w:r>
    </w:p>
    <w:p>
      <w:r>
        <w:pict>
          <v:rect style="width:0;height:1.5pt" o:hralign="center" o:hrstd="t" o:hr="t"/>
        </w:pict>
      </w:r>
    </w:p>
    <w:p>
      <w:pPr>
        <w:numPr>
          <w:ilvl w:val="0"/>
          <w:numId w:val="1011"/>
        </w:numPr>
      </w:pPr>
      <w:r>
        <w:t xml:space="preserve">os resultados do indice de ritmicidade devem ser interpretados com cuidado já que existe diferença na classificação dos animais em primeiro lugar.</w:t>
      </w:r>
    </w:p>
    <w:p>
      <w:pPr>
        <w:numPr>
          <w:ilvl w:val="1"/>
          <w:numId w:val="1012"/>
        </w:numPr>
        <w:pStyle w:val="Compact"/>
      </w:pPr>
      <w:r>
        <w:t xml:space="preserve">Isso principalmente na hora de interpretar o grafico de boxplot dos RI, entre HIGH e VEDBA.</w:t>
      </w:r>
    </w:p>
    <w:bookmarkEnd w:id="54"/>
    <w:bookmarkEnd w:id="55"/>
    <w:bookmarkStart w:id="56" w:name="anillacos-plant-community"/>
    <w:p>
      <w:pPr>
        <w:pStyle w:val="Heading1"/>
      </w:pPr>
      <w:r>
        <w:rPr>
          <w:rStyle w:val="SectionNumber"/>
        </w:rPr>
        <w:t xml:space="preserve">2</w:t>
      </w:r>
      <w:r>
        <w:tab/>
      </w:r>
      <w:r>
        <w:t xml:space="preserve">Anillaco’s Plant Community</w:t>
      </w:r>
    </w:p>
    <w:p>
      <w:pPr>
        <w:pStyle w:val="FirstParagraph"/>
      </w:pPr>
      <w:r>
        <w:t xml:space="preserve">Placeholder</w:t>
      </w:r>
    </w:p>
    <w:bookmarkEnd w:id="56"/>
    <w:bookmarkStart w:id="118" w:name="references"/>
    <w:p>
      <w:pPr>
        <w:pStyle w:val="Heading1"/>
      </w:pPr>
      <w:r>
        <w:t xml:space="preserve">References</w:t>
      </w:r>
    </w:p>
    <w:p>
      <w:pPr>
        <w:pStyle w:val="FirstParagraph"/>
      </w:pPr>
      <w:r>
        <w:t xml:space="preserve">Placeholder</w:t>
      </w:r>
    </w:p>
    <w:bookmarkStart w:id="117" w:name="refs"/>
    <w:bookmarkStart w:id="58" w:name="ref-abraham2009"/>
    <w:p>
      <w:pPr>
        <w:pStyle w:val="Bibliography"/>
      </w:pPr>
      <w:r>
        <w:t xml:space="preserve">Abraham, E., H.F. del Valle, F. Roig, L. Torres, J.O. Ares, F. Coronato, and R. Godagnone. 2009.</w:t>
      </w:r>
      <w:r>
        <w:t xml:space="preserve"> </w:t>
      </w:r>
      <w:r>
        <w:t xml:space="preserve">“Overview of the Geography of the Monte Desert Biome (Argentina).”</w:t>
      </w:r>
      <w:r>
        <w:t xml:space="preserve"> </w:t>
      </w:r>
      <w:r>
        <w:rPr>
          <w:iCs/>
          <w:i/>
        </w:rPr>
        <w:t xml:space="preserve">Journal of Arid Environments</w:t>
      </w:r>
      <w:r>
        <w:t xml:space="preserve"> </w:t>
      </w:r>
      <w:r>
        <w:t xml:space="preserve">73 (2): 144–53.</w:t>
      </w:r>
      <w:r>
        <w:t xml:space="preserve"> </w:t>
      </w:r>
      <w:hyperlink r:id="rId57">
        <w:r>
          <w:rPr>
            <w:rStyle w:val="InternetLink"/>
          </w:rPr>
          <w:t xml:space="preserve">https://doi.org/10.1016/j.jaridenv.2008.09.028</w:t>
        </w:r>
      </w:hyperlink>
      <w:r>
        <w:t xml:space="preserve">.</w:t>
      </w:r>
    </w:p>
    <w:bookmarkEnd w:id="58"/>
    <w:bookmarkStart w:id="60" w:name="ref-amaya2016"/>
    <w:p>
      <w:pPr>
        <w:pStyle w:val="Bibliography"/>
      </w:pPr>
      <w:r>
        <w:t xml:space="preserve">Amaya, Juan Pablo, Juan I. Areta, Veronica S. Valentinuzzi, and Emmanuel Zufiaurre. 2016.</w:t>
      </w:r>
      <w:r>
        <w:t xml:space="preserve"> </w:t>
      </w:r>
      <w:r>
        <w:t xml:space="preserve">“Form and Function of Long-Range Vocalizations in a Neotropical Fossorial Rodent: The Anillaco Tuco-Tuco (</w:t>
      </w:r>
      <w:r>
        <w:t xml:space="preserve"> </w:t>
      </w:r>
      <w:r>
        <w:rPr>
          <w:iCs/>
          <w:i/>
        </w:rPr>
        <w:t xml:space="preserve">Ctenomys</w:t>
      </w:r>
      <w:r>
        <w:t xml:space="preserve"> </w:t>
      </w:r>
      <w:r>
        <w:t xml:space="preserve">Sp.).”</w:t>
      </w:r>
      <w:r>
        <w:t xml:space="preserve"> </w:t>
      </w:r>
      <w:r>
        <w:rPr>
          <w:iCs/>
          <w:i/>
        </w:rPr>
        <w:t xml:space="preserve">PeerJ</w:t>
      </w:r>
      <w:r>
        <w:t xml:space="preserve"> </w:t>
      </w:r>
      <w:r>
        <w:t xml:space="preserve">4 (October): e2559.</w:t>
      </w:r>
      <w:r>
        <w:t xml:space="preserve"> </w:t>
      </w:r>
      <w:hyperlink r:id="rId59">
        <w:r>
          <w:rPr>
            <w:rStyle w:val="InternetLink"/>
          </w:rPr>
          <w:t xml:space="preserve">https://doi.org/10.7717/peerj.2559</w:t>
        </w:r>
      </w:hyperlink>
      <w:r>
        <w:t xml:space="preserve">.</w:t>
      </w:r>
    </w:p>
    <w:bookmarkEnd w:id="60"/>
    <w:bookmarkStart w:id="62" w:name="ref-aranda-rickert2011a"/>
    <w:p>
      <w:pPr>
        <w:pStyle w:val="Bibliography"/>
      </w:pPr>
      <w:r>
        <w:t xml:space="preserve">Aranda-Rickert, Adriana, and Sebastián Fracchia. 2011.</w:t>
      </w:r>
      <w:r>
        <w:t xml:space="preserve"> </w:t>
      </w:r>
      <w:r>
        <w:t xml:space="preserve">“Pogonomyrmexcunicularius as the Keystone Disperser of Elaiosome-Bearing Jatropha Excisa Seeds in Semi-Arid Argentina: Pogonomyrmex Cunicularius Ants as Keystone Seed Dispersers.”</w:t>
      </w:r>
      <w:r>
        <w:t xml:space="preserve"> </w:t>
      </w:r>
      <w:r>
        <w:rPr>
          <w:iCs/>
          <w:i/>
        </w:rPr>
        <w:t xml:space="preserve">Entomologia Experimentalis Et Applicata</w:t>
      </w:r>
      <w:r>
        <w:t xml:space="preserve"> </w:t>
      </w:r>
      <w:r>
        <w:t xml:space="preserve">139 (2): 91–102.</w:t>
      </w:r>
      <w:r>
        <w:t xml:space="preserve"> </w:t>
      </w:r>
      <w:hyperlink r:id="rId61">
        <w:r>
          <w:rPr>
            <w:rStyle w:val="InternetLink"/>
          </w:rPr>
          <w:t xml:space="preserve">https://doi.org/10.1111/j.1570-7458.2011.01111.x</w:t>
        </w:r>
      </w:hyperlink>
      <w:r>
        <w:t xml:space="preserve">.</w:t>
      </w:r>
    </w:p>
    <w:bookmarkEnd w:id="62"/>
    <w:bookmarkStart w:id="64" w:name="ref-bivand2020"/>
    <w:p>
      <w:pPr>
        <w:pStyle w:val="Bibliography"/>
      </w:pPr>
      <w:r>
        <w:t xml:space="preserve">Bivand, Roger, and Nicholas Lewin-Koh. 2020.</w:t>
      </w:r>
      <w:r>
        <w:t xml:space="preserve"> </w:t>
      </w:r>
      <w:r>
        <w:t xml:space="preserve">“Maptools: Tools for Handling Spatial Objects.”</w:t>
      </w:r>
      <w:r>
        <w:t xml:space="preserve"> </w:t>
      </w:r>
      <w:hyperlink r:id="rId63">
        <w:r>
          <w:rPr>
            <w:rStyle w:val="InternetLink"/>
          </w:rPr>
          <w:t xml:space="preserve">https://CRAN.R-project.org/package=maptools</w:t>
        </w:r>
      </w:hyperlink>
      <w:r>
        <w:t xml:space="preserve">.</w:t>
      </w:r>
    </w:p>
    <w:bookmarkEnd w:id="64"/>
    <w:bookmarkStart w:id="66" w:name="ref-bunn2008"/>
    <w:p>
      <w:pPr>
        <w:pStyle w:val="Bibliography"/>
      </w:pPr>
      <w:r>
        <w:t xml:space="preserve">Bunn, Andrew G. 2008.</w:t>
      </w:r>
      <w:r>
        <w:t xml:space="preserve"> </w:t>
      </w:r>
      <w:r>
        <w:t xml:space="preserve">“A Dendrochronology Program Library in R (dplR).”</w:t>
      </w:r>
      <w:r>
        <w:t xml:space="preserve"> </w:t>
      </w:r>
      <w:r>
        <w:rPr>
          <w:iCs/>
          <w:i/>
        </w:rPr>
        <w:t xml:space="preserve">Dendrochronologia</w:t>
      </w:r>
      <w:r>
        <w:t xml:space="preserve"> </w:t>
      </w:r>
      <w:r>
        <w:t xml:space="preserve">26 (2): 115–24.</w:t>
      </w:r>
      <w:r>
        <w:t xml:space="preserve"> </w:t>
      </w:r>
      <w:hyperlink r:id="rId65">
        <w:r>
          <w:rPr>
            <w:rStyle w:val="InternetLink"/>
          </w:rPr>
          <w:t xml:space="preserve">https://doi.org/10.1016/j.dendro.2008.01.002</w:t>
        </w:r>
      </w:hyperlink>
      <w:r>
        <w:t xml:space="preserve">.</w:t>
      </w:r>
    </w:p>
    <w:bookmarkEnd w:id="66"/>
    <w:bookmarkStart w:id="67" w:name="ref-burnham2002"/>
    <w:p>
      <w:pPr>
        <w:pStyle w:val="Bibliography"/>
      </w:pPr>
      <w:r>
        <w:t xml:space="preserve">Burnham, Kenneth P., David Raymond Anderson, and Kenneth P. Burnham. 2002.</w:t>
      </w:r>
      <w:r>
        <w:t xml:space="preserve"> </w:t>
      </w:r>
      <w:r>
        <w:rPr>
          <w:iCs/>
          <w:i/>
        </w:rPr>
        <w:t xml:space="preserve">Model Selection and Multimodel Inference: A Practical Information-Theoretic Approach</w:t>
      </w:r>
      <w:r>
        <w:t xml:space="preserve">. 2nd ed. New York: Springer.</w:t>
      </w:r>
    </w:p>
    <w:bookmarkEnd w:id="67"/>
    <w:bookmarkStart w:id="69" w:name="ref-dowse2009"/>
    <w:p>
      <w:pPr>
        <w:pStyle w:val="Bibliography"/>
      </w:pPr>
      <w:r>
        <w:t xml:space="preserve">Dowse, Harold B. 2009.</w:t>
      </w:r>
      <w:r>
        <w:t xml:space="preserve"> </w:t>
      </w:r>
      <w:r>
        <w:t xml:space="preserve">“Chapter 6 Analyses for Physiological and Behavioral Rhythmicity.”</w:t>
      </w:r>
      <w:r>
        <w:t xml:space="preserve"> </w:t>
      </w:r>
      <w:r>
        <w:t xml:space="preserve">In, 454:141–74. Elsevier.</w:t>
      </w:r>
      <w:r>
        <w:t xml:space="preserve"> </w:t>
      </w:r>
      <w:hyperlink r:id="rId68">
        <w:r>
          <w:rPr>
            <w:rStyle w:val="InternetLink"/>
          </w:rPr>
          <w:t xml:space="preserve">https://doi.org/10.1016/S0076-6879(08)03806-8</w:t>
        </w:r>
      </w:hyperlink>
      <w:r>
        <w:t xml:space="preserve">.</w:t>
      </w:r>
    </w:p>
    <w:bookmarkEnd w:id="69"/>
    <w:bookmarkStart w:id="71" w:name="ref-fracchia2011"/>
    <w:p>
      <w:pPr>
        <w:pStyle w:val="Bibliography"/>
      </w:pPr>
      <w:r>
        <w:t xml:space="preserve">Fracchia, S., L. Krapovickas, A. Aranda-Rickert, and V.S. Valentinuzzi. 2011.</w:t>
      </w:r>
      <w:r>
        <w:t xml:space="preserve"> </w:t>
      </w:r>
      <w:r>
        <w:t xml:space="preserve">“Dispersal of Arbuscular Mycorrhizal Fungi and Dark Septate Endophytes by Ctenomys Cf. Knighti (Rodentia) in the Northern Monte Desert of Argentina.”</w:t>
      </w:r>
      <w:r>
        <w:t xml:space="preserve"> </w:t>
      </w:r>
      <w:r>
        <w:rPr>
          <w:iCs/>
          <w:i/>
        </w:rPr>
        <w:t xml:space="preserve">Journal of Arid Environments</w:t>
      </w:r>
      <w:r>
        <w:t xml:space="preserve"> </w:t>
      </w:r>
      <w:r>
        <w:t xml:space="preserve">75 (11): 1016–23.</w:t>
      </w:r>
      <w:r>
        <w:t xml:space="preserve"> </w:t>
      </w:r>
      <w:hyperlink r:id="rId70">
        <w:r>
          <w:rPr>
            <w:rStyle w:val="InternetLink"/>
          </w:rPr>
          <w:t xml:space="preserve">https://doi.org/10.1016/j.jaridenv.2011.04.034</w:t>
        </w:r>
      </w:hyperlink>
      <w:r>
        <w:t xml:space="preserve">.</w:t>
      </w:r>
    </w:p>
    <w:bookmarkEnd w:id="71"/>
    <w:bookmarkStart w:id="72" w:name="ref-activity2000"/>
    <w:p>
      <w:pPr>
        <w:pStyle w:val="Bibliography"/>
      </w:pPr>
      <w:r>
        <w:t xml:space="preserve">Halle, S., and Nils Chr Stenseth, eds. 2000.</w:t>
      </w:r>
      <w:r>
        <w:t xml:space="preserve"> </w:t>
      </w:r>
      <w:r>
        <w:rPr>
          <w:iCs/>
          <w:i/>
        </w:rPr>
        <w:t xml:space="preserve">Activity Patterns in Small Mammals: An Ecological Approach</w:t>
      </w:r>
      <w:r>
        <w:t xml:space="preserve">. Ecological Studies, v. 141. Berlin ; New York: Springer.</w:t>
      </w:r>
    </w:p>
    <w:bookmarkEnd w:id="72"/>
    <w:bookmarkStart w:id="74" w:name="ref-hansw.borchers2019"/>
    <w:p>
      <w:pPr>
        <w:pStyle w:val="Bibliography"/>
      </w:pPr>
      <w:r>
        <w:t xml:space="preserve">Hans W. Borchers. 2019.</w:t>
      </w:r>
      <w:r>
        <w:t xml:space="preserve"> </w:t>
      </w:r>
      <w:r>
        <w:t xml:space="preserve">“Pracma: Practical Numerical Math Functions.”</w:t>
      </w:r>
      <w:r>
        <w:t xml:space="preserve"> </w:t>
      </w:r>
      <w:hyperlink r:id="rId73">
        <w:r>
          <w:rPr>
            <w:rStyle w:val="InternetLink"/>
          </w:rPr>
          <w:t xml:space="preserve">https://CRAN.R-project.org/package=pracma</w:t>
        </w:r>
      </w:hyperlink>
      <w:r>
        <w:t xml:space="preserve">.</w:t>
      </w:r>
    </w:p>
    <w:bookmarkEnd w:id="74"/>
    <w:bookmarkStart w:id="76" w:name="ref-jannetti2019"/>
    <w:p>
      <w:pPr>
        <w:pStyle w:val="Bibliography"/>
      </w:pPr>
      <w:r>
        <w:t xml:space="preserve">Jannetti, Milene G., C. Loren Buck, Veronica S. Valentinuzzi, and Gisele A. Oda. 2019.</w:t>
      </w:r>
      <w:r>
        <w:t xml:space="preserve"> </w:t>
      </w:r>
      <w:r>
        <w:t xml:space="preserve">“Day and Night in the Subterranean: Measuring Daily Activity Patterns of Subterranean Rodents (Ctenomys Aff. Knighti) Using Bio-Logging.”</w:t>
      </w:r>
      <w:r>
        <w:t xml:space="preserve"> </w:t>
      </w:r>
      <w:r>
        <w:rPr>
          <w:iCs/>
          <w:i/>
        </w:rPr>
        <w:t xml:space="preserve">Conservation Physiology</w:t>
      </w:r>
      <w:r>
        <w:t xml:space="preserve"> </w:t>
      </w:r>
      <w:r>
        <w:t xml:space="preserve">7 (1).</w:t>
      </w:r>
      <w:r>
        <w:t xml:space="preserve"> </w:t>
      </w:r>
      <w:hyperlink r:id="rId75">
        <w:r>
          <w:rPr>
            <w:rStyle w:val="InternetLink"/>
          </w:rPr>
          <w:t xml:space="preserve">https://doi.org/10.1093/conphys/coz044</w:t>
        </w:r>
      </w:hyperlink>
      <w:r>
        <w:t xml:space="preserve">.</w:t>
      </w:r>
    </w:p>
    <w:bookmarkEnd w:id="76"/>
    <w:bookmarkStart w:id="78" w:name="ref-langrock2012"/>
    <w:p>
      <w:pPr>
        <w:pStyle w:val="Bibliography"/>
      </w:pPr>
      <w:r>
        <w:t xml:space="preserve">Langrock, Roland, Ruth King, Jason Matthiopoulos, Len Thomas, Daniel Fortin, and Juan M. Morales. 2012.</w:t>
      </w:r>
      <w:r>
        <w:t xml:space="preserve"> </w:t>
      </w:r>
      <w:r>
        <w:t xml:space="preserve">“Flexible and Practical Modeling of Animal Telemetry Data: Hidden Markov Models and Extensions.”</w:t>
      </w:r>
      <w:r>
        <w:t xml:space="preserve"> </w:t>
      </w:r>
      <w:r>
        <w:rPr>
          <w:iCs/>
          <w:i/>
        </w:rPr>
        <w:t xml:space="preserve">Ecology</w:t>
      </w:r>
      <w:r>
        <w:t xml:space="preserve"> </w:t>
      </w:r>
      <w:r>
        <w:t xml:space="preserve">93 (11): 2336–42.</w:t>
      </w:r>
      <w:r>
        <w:t xml:space="preserve"> </w:t>
      </w:r>
      <w:hyperlink r:id="rId77">
        <w:r>
          <w:rPr>
            <w:rStyle w:val="InternetLink"/>
          </w:rPr>
          <w:t xml:space="preserve">https://doi.org/10.1890/11-2241.1</w:t>
        </w:r>
      </w:hyperlink>
      <w:r>
        <w:t xml:space="preserve">.</w:t>
      </w:r>
    </w:p>
    <w:bookmarkEnd w:id="78"/>
    <w:bookmarkStart w:id="80" w:name="ref-leise2017"/>
    <w:p>
      <w:pPr>
        <w:pStyle w:val="Bibliography"/>
      </w:pPr>
      <w:r>
        <w:t xml:space="preserve">Leise, Tanya L. 2017.</w:t>
      </w:r>
      <w:r>
        <w:t xml:space="preserve"> </w:t>
      </w:r>
      <w:r>
        <w:t xml:space="preserve">“Analysis of Nonstationary Time Series for Biological Rhythms Research.”</w:t>
      </w:r>
      <w:r>
        <w:t xml:space="preserve"> </w:t>
      </w:r>
      <w:r>
        <w:rPr>
          <w:iCs/>
          <w:i/>
        </w:rPr>
        <w:t xml:space="preserve">Journal of Biological Rhythms</w:t>
      </w:r>
      <w:r>
        <w:t xml:space="preserve"> </w:t>
      </w:r>
      <w:r>
        <w:t xml:space="preserve">32 (3): 187–94.</w:t>
      </w:r>
      <w:r>
        <w:t xml:space="preserve"> </w:t>
      </w:r>
      <w:hyperlink r:id="rId79">
        <w:r>
          <w:rPr>
            <w:rStyle w:val="InternetLink"/>
          </w:rPr>
          <w:t xml:space="preserve">https://doi.org/10.1177/0748730417709105</w:t>
        </w:r>
      </w:hyperlink>
      <w:r>
        <w:t xml:space="preserve">.</w:t>
      </w:r>
    </w:p>
    <w:bookmarkEnd w:id="80"/>
    <w:bookmarkStart w:id="82" w:name="ref-leosbarajas2017"/>
    <w:p>
      <w:pPr>
        <w:pStyle w:val="Bibliography"/>
      </w:pPr>
      <w:r>
        <w:t xml:space="preserve">Leos-Barajas, Vianey, Theoni Photopoulou, Roland Langrock, Toby A. Patterson, Yuuki Y. Watanabe, Megan Murgatroyd, and Yannis P. Papastamatiou. 2017.</w:t>
      </w:r>
      <w:r>
        <w:t xml:space="preserve"> </w:t>
      </w:r>
      <w:r>
        <w:t xml:space="preserve">“Analysis of Animal Accelerometer Data Using Hidden Markov Models.”</w:t>
      </w:r>
      <w:r>
        <w:t xml:space="preserve"> </w:t>
      </w:r>
      <w:r>
        <w:t xml:space="preserve">Edited by Robert B. O’Hara.</w:t>
      </w:r>
      <w:r>
        <w:t xml:space="preserve"> </w:t>
      </w:r>
      <w:r>
        <w:rPr>
          <w:iCs/>
          <w:i/>
        </w:rPr>
        <w:t xml:space="preserve">Methods in Ecology and Evolution</w:t>
      </w:r>
      <w:r>
        <w:t xml:space="preserve"> </w:t>
      </w:r>
      <w:r>
        <w:t xml:space="preserve">8 (2): 161–73.</w:t>
      </w:r>
      <w:r>
        <w:t xml:space="preserve"> </w:t>
      </w:r>
      <w:hyperlink r:id="rId81">
        <w:r>
          <w:rPr>
            <w:rStyle w:val="InternetLink"/>
          </w:rPr>
          <w:t xml:space="preserve">https://doi.org/10.1111/2041-210X.12657</w:t>
        </w:r>
      </w:hyperlink>
      <w:r>
        <w:t xml:space="preserve">.</w:t>
      </w:r>
    </w:p>
    <w:bookmarkEnd w:id="82"/>
    <w:bookmarkStart w:id="83" w:name="ref-levine2002"/>
    <w:p>
      <w:pPr>
        <w:pStyle w:val="Bibliography"/>
      </w:pPr>
      <w:r>
        <w:t xml:space="preserve">Levine, Joel D, Pablo Funes, Harold B Dowse, and Jeffrey C Hall. 2002.</w:t>
      </w:r>
      <w:r>
        <w:t xml:space="preserve"> </w:t>
      </w:r>
      <w:r>
        <w:t xml:space="preserve">“Signal Analysis of Behavioral and Molecular Cycles.”</w:t>
      </w:r>
      <w:r>
        <w:t xml:space="preserve"> </w:t>
      </w:r>
      <w:r>
        <w:rPr>
          <w:iCs/>
          <w:i/>
        </w:rPr>
        <w:t xml:space="preserve">BMC Neuroscience</w:t>
      </w:r>
      <w:r>
        <w:t xml:space="preserve">, 25.</w:t>
      </w:r>
    </w:p>
    <w:bookmarkEnd w:id="83"/>
    <w:bookmarkStart w:id="85" w:name="ref-mcclintock2020"/>
    <w:p>
      <w:pPr>
        <w:pStyle w:val="Bibliography"/>
      </w:pPr>
      <w:r>
        <w:t xml:space="preserve">McClintock, Brett T., Roland Langrock, Olivier Gimenez, Emmanuelle Cam, David L. Borchers, Richard Glennie, and Toby A. Patterson. 2020.</w:t>
      </w:r>
      <w:r>
        <w:t xml:space="preserve"> </w:t>
      </w:r>
      <w:r>
        <w:t xml:space="preserve">“Uncovering Ecological State Dynamics with Hidden Markov Models.”</w:t>
      </w:r>
      <w:r>
        <w:t xml:space="preserve"> </w:t>
      </w:r>
      <w:r>
        <w:t xml:space="preserve">Edited by Tim Coulson.</w:t>
      </w:r>
      <w:r>
        <w:t xml:space="preserve"> </w:t>
      </w:r>
      <w:r>
        <w:rPr>
          <w:iCs/>
          <w:i/>
        </w:rPr>
        <w:t xml:space="preserve">Ecology Letters</w:t>
      </w:r>
      <w:r>
        <w:t xml:space="preserve"> </w:t>
      </w:r>
      <w:r>
        <w:t xml:space="preserve">23 (12): 1878–1903.</w:t>
      </w:r>
      <w:r>
        <w:t xml:space="preserve"> </w:t>
      </w:r>
      <w:hyperlink r:id="rId84">
        <w:r>
          <w:rPr>
            <w:rStyle w:val="InternetLink"/>
          </w:rPr>
          <w:t xml:space="preserve">https://doi.org/10.1111/ele.13610</w:t>
        </w:r>
      </w:hyperlink>
      <w:r>
        <w:t xml:space="preserve">.</w:t>
      </w:r>
    </w:p>
    <w:bookmarkEnd w:id="85"/>
    <w:bookmarkStart w:id="86" w:name="ref-mcclintock2021"/>
    <w:p>
      <w:pPr>
        <w:pStyle w:val="Bibliography"/>
      </w:pPr>
      <w:r>
        <w:t xml:space="preserve">McClintock, Brett T, and Theo Michelot. 2021.</w:t>
      </w:r>
      <w:r>
        <w:t xml:space="preserve"> </w:t>
      </w:r>
      <w:r>
        <w:t xml:space="preserve">“momentuHMM: R Package for Analysis of Telemetry Data Using Generalized Multivariate Hidden Markov Models of Animal Movement,”</w:t>
      </w:r>
      <w:r>
        <w:t xml:space="preserve"> </w:t>
      </w:r>
      <w:r>
        <w:t xml:space="preserve">155.</w:t>
      </w:r>
    </w:p>
    <w:bookmarkEnd w:id="86"/>
    <w:bookmarkStart w:id="87" w:name="ref-michelot2019"/>
    <w:p>
      <w:pPr>
        <w:pStyle w:val="Bibliography"/>
      </w:pPr>
      <w:r>
        <w:t xml:space="preserve">Michelot, Theo, and Roland Langrock. 2019.</w:t>
      </w:r>
      <w:r>
        <w:t xml:space="preserve"> </w:t>
      </w:r>
      <w:r>
        <w:t xml:space="preserve">“A Short Guide to Choosing Initial Parameter Values for the Estimation in moveHMM,”</w:t>
      </w:r>
      <w:r>
        <w:t xml:space="preserve"> </w:t>
      </w:r>
      <w:r>
        <w:t xml:space="preserve">10.</w:t>
      </w:r>
    </w:p>
    <w:bookmarkEnd w:id="87"/>
    <w:bookmarkStart w:id="89" w:name="ref-papastamatiou2018"/>
    <w:p>
      <w:pPr>
        <w:pStyle w:val="Bibliography"/>
      </w:pPr>
      <w:r>
        <w:t xml:space="preserve">Papastamatiou, Yannis P., Yuuki Y. Watanabe, Urška Demšar, Vianey Leos-Barajas, Darcy Bradley, Roland Langrock, Kevin Weng, Christopher G. Lowe, Alan M. Friedlander, and Jennifer E. Caselle. 2018.</w:t>
      </w:r>
      <w:r>
        <w:t xml:space="preserve"> </w:t>
      </w:r>
      <w:r>
        <w:t xml:space="preserve">“Activity Seascapes Highlight Central Place Foraging Strategies in Marine Predators That Never Stop Swimming.”</w:t>
      </w:r>
      <w:r>
        <w:t xml:space="preserve"> </w:t>
      </w:r>
      <w:r>
        <w:rPr>
          <w:iCs/>
          <w:i/>
        </w:rPr>
        <w:t xml:space="preserve">Movement Ecology</w:t>
      </w:r>
      <w:r>
        <w:t xml:space="preserve"> </w:t>
      </w:r>
      <w:r>
        <w:t xml:space="preserve">6 (1): 9.</w:t>
      </w:r>
      <w:r>
        <w:t xml:space="preserve"> </w:t>
      </w:r>
      <w:hyperlink r:id="rId88">
        <w:r>
          <w:rPr>
            <w:rStyle w:val="InternetLink"/>
          </w:rPr>
          <w:t xml:space="preserve">https://doi.org/10.1186/s40462-018-0127-3</w:t>
        </w:r>
      </w:hyperlink>
      <w:r>
        <w:t xml:space="preserve">.</w:t>
      </w:r>
    </w:p>
    <w:bookmarkEnd w:id="89"/>
    <w:bookmarkStart w:id="91" w:name="ref-patterson2019"/>
    <w:p>
      <w:pPr>
        <w:pStyle w:val="Bibliography"/>
      </w:pPr>
      <w:r>
        <w:t xml:space="preserve">Patterson, Allison, Hugh Grant Gilchrist, Lorraine Chivers, Scott Hatch, and Kyle Elliott. 2019.</w:t>
      </w:r>
      <w:r>
        <w:t xml:space="preserve"> </w:t>
      </w:r>
      <w:r>
        <w:t xml:space="preserve">“A Comparison of Techniques for Classifying Behavior from Accelerometers for Two Species of Seabird.”</w:t>
      </w:r>
      <w:r>
        <w:t xml:space="preserve"> </w:t>
      </w:r>
      <w:r>
        <w:rPr>
          <w:iCs/>
          <w:i/>
        </w:rPr>
        <w:t xml:space="preserve">Ecology and Evolution</w:t>
      </w:r>
      <w:r>
        <w:t xml:space="preserve"> </w:t>
      </w:r>
      <w:r>
        <w:t xml:space="preserve">9 (6): 3030–45.</w:t>
      </w:r>
      <w:r>
        <w:t xml:space="preserve"> </w:t>
      </w:r>
      <w:hyperlink r:id="rId90">
        <w:r>
          <w:rPr>
            <w:rStyle w:val="InternetLink"/>
          </w:rPr>
          <w:t xml:space="preserve">https://doi.org/10.1002/ece3.4740</w:t>
        </w:r>
      </w:hyperlink>
      <w:r>
        <w:t xml:space="preserve">.</w:t>
      </w:r>
    </w:p>
    <w:bookmarkEnd w:id="91"/>
    <w:bookmarkStart w:id="93" w:name="ref-patterson2009"/>
    <w:p>
      <w:pPr>
        <w:pStyle w:val="Bibliography"/>
      </w:pPr>
      <w:r>
        <w:t xml:space="preserve">Patterson, Toby A., Marinelle Basson, Mark V. Bravington, and John S. Gunn. 2009.</w:t>
      </w:r>
      <w:r>
        <w:t xml:space="preserve"> </w:t>
      </w:r>
      <w:r>
        <w:t xml:space="preserve">“Classifying Movement Behaviour in Relation to Environmental Conditions Using Hidden Markov Models.”</w:t>
      </w:r>
      <w:r>
        <w:t xml:space="preserve"> </w:t>
      </w:r>
      <w:r>
        <w:rPr>
          <w:iCs/>
          <w:i/>
        </w:rPr>
        <w:t xml:space="preserve">Journal of Animal Ecology</w:t>
      </w:r>
      <w:r>
        <w:t xml:space="preserve"> </w:t>
      </w:r>
      <w:r>
        <w:t xml:space="preserve">78 (6): 1113–23.</w:t>
      </w:r>
      <w:r>
        <w:t xml:space="preserve"> </w:t>
      </w:r>
      <w:hyperlink r:id="rId92">
        <w:r>
          <w:rPr>
            <w:rStyle w:val="InternetLink"/>
          </w:rPr>
          <w:t xml:space="preserve">https://doi.org/10.1111/j.1365-2656.2009.01583.x</w:t>
        </w:r>
      </w:hyperlink>
      <w:r>
        <w:t xml:space="preserve">.</w:t>
      </w:r>
    </w:p>
    <w:bookmarkEnd w:id="93"/>
    <w:bookmarkStart w:id="95" w:name="ref-pohle2017"/>
    <w:p>
      <w:pPr>
        <w:pStyle w:val="Bibliography"/>
      </w:pPr>
      <w:r>
        <w:t xml:space="preserve">Pohle, Jennifer, Roland Langrock, Floris M. van Beest, and Niels Martin Schmidt. 2017.</w:t>
      </w:r>
      <w:r>
        <w:t xml:space="preserve"> </w:t>
      </w:r>
      <w:r>
        <w:t xml:space="preserve">“Selecting the Number of States in Hidden Markov Models: Pragmatic Solutions Illustrated Using Animal Movement.”</w:t>
      </w:r>
      <w:r>
        <w:t xml:space="preserve"> </w:t>
      </w:r>
      <w:r>
        <w:rPr>
          <w:iCs/>
          <w:i/>
        </w:rPr>
        <w:t xml:space="preserve">Journal of Agricultural, Biological and Environmental Statistics</w:t>
      </w:r>
      <w:r>
        <w:t xml:space="preserve"> </w:t>
      </w:r>
      <w:r>
        <w:t xml:space="preserve">22 (3): 270–93.</w:t>
      </w:r>
      <w:r>
        <w:t xml:space="preserve"> </w:t>
      </w:r>
      <w:hyperlink r:id="rId94">
        <w:r>
          <w:rPr>
            <w:rStyle w:val="InternetLink"/>
          </w:rPr>
          <w:t xml:space="preserve">https://doi.org/10.1007/s13253-017-0283-8</w:t>
        </w:r>
      </w:hyperlink>
      <w:r>
        <w:t xml:space="preserve">.</w:t>
      </w:r>
    </w:p>
    <w:bookmarkEnd w:id="95"/>
    <w:bookmarkStart w:id="97" w:name="ref-qasem2012"/>
    <w:p>
      <w:pPr>
        <w:pStyle w:val="Bibliography"/>
      </w:pPr>
      <w:r>
        <w:t xml:space="preserve">Qasem, Lama, Antonia Cardew, Alexis Wilson, Iwan Griffiths, Lewis G. Halsey, Emily L. C. Shepard, Adrian C. Gleiss, and Rory Wilson. 2012.</w:t>
      </w:r>
      <w:r>
        <w:t xml:space="preserve"> </w:t>
      </w:r>
      <w:r>
        <w:t xml:space="preserve">“Tri-Axial Dynamic Acceleration as a Proxy for Animal Energy Expenditure; Should We Be Summing Values or Calculating the Vector?”</w:t>
      </w:r>
      <w:r>
        <w:t xml:space="preserve"> </w:t>
      </w:r>
      <w:r>
        <w:rPr>
          <w:iCs/>
          <w:i/>
        </w:rPr>
        <w:t xml:space="preserve">PLOS ONE</w:t>
      </w:r>
      <w:r>
        <w:t xml:space="preserve"> </w:t>
      </w:r>
      <w:r>
        <w:t xml:space="preserve">7 (2): e31187.</w:t>
      </w:r>
      <w:r>
        <w:t xml:space="preserve"> </w:t>
      </w:r>
      <w:hyperlink r:id="rId96">
        <w:r>
          <w:rPr>
            <w:rStyle w:val="InternetLink"/>
          </w:rPr>
          <w:t xml:space="preserve">https://doi.org/10.1371/journal.pone.0031187</w:t>
        </w:r>
      </w:hyperlink>
      <w:r>
        <w:t xml:space="preserve">.</w:t>
      </w:r>
    </w:p>
    <w:bookmarkEnd w:id="97"/>
    <w:bookmarkStart w:id="99" w:name="ref-rcoreteam2020"/>
    <w:p>
      <w:pPr>
        <w:pStyle w:val="Bibliography"/>
      </w:pPr>
      <w:r>
        <w:t xml:space="preserve">R Core Team. 2020.</w:t>
      </w:r>
      <w:r>
        <w:t xml:space="preserve"> </w:t>
      </w:r>
      <w:r>
        <w:t xml:space="preserve">“R: A Language and Environment for Statistical Computing.”</w:t>
      </w:r>
      <w:r>
        <w:t xml:space="preserve"> </w:t>
      </w:r>
      <w:hyperlink r:id="rId98">
        <w:r>
          <w:rPr>
            <w:rStyle w:val="InternetLink"/>
          </w:rPr>
          <w:t xml:space="preserve">https://www.R-project.org/.</w:t>
        </w:r>
      </w:hyperlink>
    </w:p>
    <w:bookmarkEnd w:id="99"/>
    <w:bookmarkStart w:id="101" w:name="ref-ruf1999"/>
    <w:p>
      <w:pPr>
        <w:pStyle w:val="Bibliography"/>
      </w:pPr>
      <w:r>
        <w:t xml:space="preserve">Ruf, T. 1999.</w:t>
      </w:r>
      <w:r>
        <w:t xml:space="preserve"> </w:t>
      </w:r>
      <w:r>
        <w:t xml:space="preserve">“The Lomb-Scargle Periodogram in Biological Rhythm Research: Analysis of Incomplete and Unequally Spaced Time-Series.”</w:t>
      </w:r>
      <w:r>
        <w:t xml:space="preserve"> </w:t>
      </w:r>
      <w:r>
        <w:rPr>
          <w:iCs/>
          <w:i/>
        </w:rPr>
        <w:t xml:space="preserve">Biological Rhythm Research</w:t>
      </w:r>
      <w:r>
        <w:t xml:space="preserve"> </w:t>
      </w:r>
      <w:r>
        <w:t xml:space="preserve">30 (2): 178–201.</w:t>
      </w:r>
      <w:r>
        <w:t xml:space="preserve"> </w:t>
      </w:r>
      <w:hyperlink r:id="rId100">
        <w:r>
          <w:rPr>
            <w:rStyle w:val="InternetLink"/>
          </w:rPr>
          <w:t xml:space="preserve">https://doi.org/10.1076/brhm.30.2.178.1422</w:t>
        </w:r>
      </w:hyperlink>
      <w:r>
        <w:t xml:space="preserve">.</w:t>
      </w:r>
    </w:p>
    <w:bookmarkEnd w:id="101"/>
    <w:bookmarkStart w:id="103" w:name="ref-shepard2008"/>
    <w:p>
      <w:pPr>
        <w:pStyle w:val="Bibliography"/>
      </w:pPr>
      <w:r>
        <w:t xml:space="preserve">Shepard, Elc, Rp Wilson, Lg Halsey, F Quintana, A Gómez Laich, Ac Gleiss, N Liebsch, Ae Myers, and B Norman. 2008.</w:t>
      </w:r>
      <w:r>
        <w:t xml:space="preserve"> </w:t>
      </w:r>
      <w:r>
        <w:t xml:space="preserve">“Derivation of Body Motion via Appropriate Smoothing of Acceleration Data.”</w:t>
      </w:r>
      <w:r>
        <w:t xml:space="preserve"> </w:t>
      </w:r>
      <w:r>
        <w:rPr>
          <w:iCs/>
          <w:i/>
        </w:rPr>
        <w:t xml:space="preserve">Aquatic Biology</w:t>
      </w:r>
      <w:r>
        <w:t xml:space="preserve"> </w:t>
      </w:r>
      <w:r>
        <w:t xml:space="preserve">4 (December): 235–41.</w:t>
      </w:r>
      <w:r>
        <w:t xml:space="preserve"> </w:t>
      </w:r>
      <w:hyperlink r:id="rId102">
        <w:r>
          <w:rPr>
            <w:rStyle w:val="InternetLink"/>
          </w:rPr>
          <w:t xml:space="preserve">https://doi.org/10.3354/ab00104</w:t>
        </w:r>
      </w:hyperlink>
      <w:r>
        <w:t xml:space="preserve">.</w:t>
      </w:r>
    </w:p>
    <w:bookmarkEnd w:id="103"/>
    <w:bookmarkStart w:id="105" w:name="ref-tomotani2012"/>
    <w:p>
      <w:pPr>
        <w:pStyle w:val="Bibliography"/>
      </w:pPr>
      <w:r>
        <w:t xml:space="preserve">Tomotani, Barbara M., Danilo E. F. L. Flores, Patrícia Tachinardi, José D. Paliza, Gisele A. Oda, and Verônica S. Valentinuzzi. 2012.</w:t>
      </w:r>
      <w:r>
        <w:t xml:space="preserve"> </w:t>
      </w:r>
      <w:r>
        <w:t xml:space="preserve">“Field and Laboratory Studies Provide Insights into the Meaning of Day-Time Activity in a Subterranean Rodent (Ctenomys Aff. Knighti), the Tuco-Tuco.”</w:t>
      </w:r>
      <w:r>
        <w:t xml:space="preserve"> </w:t>
      </w:r>
      <w:r>
        <w:t xml:space="preserve">Edited by Ralph E. Mistlberger.</w:t>
      </w:r>
      <w:r>
        <w:t xml:space="preserve"> </w:t>
      </w:r>
      <w:r>
        <w:rPr>
          <w:iCs/>
          <w:i/>
        </w:rPr>
        <w:t xml:space="preserve">PLoS ONE</w:t>
      </w:r>
      <w:r>
        <w:t xml:space="preserve"> </w:t>
      </w:r>
      <w:r>
        <w:t xml:space="preserve">7 (5): e37918.</w:t>
      </w:r>
      <w:r>
        <w:t xml:space="preserve"> </w:t>
      </w:r>
      <w:hyperlink r:id="rId104">
        <w:r>
          <w:rPr>
            <w:rStyle w:val="InternetLink"/>
          </w:rPr>
          <w:t xml:space="preserve">https://doi.org/10.1371/journal.pone.0037918</w:t>
        </w:r>
      </w:hyperlink>
      <w:r>
        <w:t xml:space="preserve">.</w:t>
      </w:r>
    </w:p>
    <w:bookmarkEnd w:id="105"/>
    <w:bookmarkStart w:id="107" w:name="ref-valentinuzzi2009"/>
    <w:p>
      <w:pPr>
        <w:pStyle w:val="Bibliography"/>
      </w:pPr>
      <w:r>
        <w:t xml:space="preserve">Valentinuzzi, Verónica Sandra, Gisele Akemi Oda, John Fontenele Araújo, and Martin Roland Ralph. 2009.</w:t>
      </w:r>
      <w:r>
        <w:t xml:space="preserve"> </w:t>
      </w:r>
      <w:r>
        <w:t xml:space="preserve">“Circadian Pattern of Wheel</w:t>
      </w:r>
      <w:r>
        <w:t xml:space="preserve">-</w:t>
      </w:r>
      <w:r>
        <w:t xml:space="preserve">Running Activity of a South American Subterranean Rodent (</w:t>
      </w:r>
      <w:r>
        <w:t xml:space="preserve"> </w:t>
      </w:r>
      <w:r>
        <w:rPr>
          <w:iCs/>
          <w:i/>
        </w:rPr>
        <w:t xml:space="preserve">Ctenomys Cf Knightii</w:t>
      </w:r>
      <w:r>
        <w:t xml:space="preserve"> </w:t>
      </w:r>
      <w:r>
        <w:t xml:space="preserve">).”</w:t>
      </w:r>
      <w:r>
        <w:t xml:space="preserve"> </w:t>
      </w:r>
      <w:r>
        <w:rPr>
          <w:iCs/>
          <w:i/>
        </w:rPr>
        <w:t xml:space="preserve">Chronobiology International</w:t>
      </w:r>
      <w:r>
        <w:t xml:space="preserve"> </w:t>
      </w:r>
      <w:r>
        <w:t xml:space="preserve">26 (1): 14–27.</w:t>
      </w:r>
      <w:r>
        <w:t xml:space="preserve"> </w:t>
      </w:r>
      <w:hyperlink r:id="rId106">
        <w:r>
          <w:rPr>
            <w:rStyle w:val="InternetLink"/>
          </w:rPr>
          <w:t xml:space="preserve">https://doi.org/10.1080/07420520802686331</w:t>
        </w:r>
      </w:hyperlink>
      <w:r>
        <w:t xml:space="preserve">.</w:t>
      </w:r>
    </w:p>
    <w:bookmarkEnd w:id="107"/>
    <w:bookmarkStart w:id="109" w:name="ref-vandekerk2015"/>
    <w:p>
      <w:pPr>
        <w:pStyle w:val="Bibliography"/>
      </w:pPr>
      <w:r>
        <w:t xml:space="preserve">van de Kerk, Madelon, David P. Onorato, Marc A. Criffield, Benjamin M. Bolker, Ben C. Augustine, Scott A. McKinley, and Madan K. Oli. 2015.</w:t>
      </w:r>
      <w:r>
        <w:t xml:space="preserve"> </w:t>
      </w:r>
      <w:r>
        <w:t xml:space="preserve">“Hidden Semi-Markov Models Reveal Multiphasic Movement of the Endangered Florida Panther.”</w:t>
      </w:r>
      <w:r>
        <w:t xml:space="preserve"> </w:t>
      </w:r>
      <w:r>
        <w:t xml:space="preserve">Edited by Tim Coulson.</w:t>
      </w:r>
      <w:r>
        <w:t xml:space="preserve"> </w:t>
      </w:r>
      <w:r>
        <w:rPr>
          <w:iCs/>
          <w:i/>
        </w:rPr>
        <w:t xml:space="preserve">Journal of Animal Ecology</w:t>
      </w:r>
      <w:r>
        <w:t xml:space="preserve"> </w:t>
      </w:r>
      <w:r>
        <w:t xml:space="preserve">84 (2): 576–85.</w:t>
      </w:r>
      <w:r>
        <w:t xml:space="preserve"> </w:t>
      </w:r>
      <w:hyperlink r:id="rId108">
        <w:r>
          <w:rPr>
            <w:rStyle w:val="InternetLink"/>
          </w:rPr>
          <w:t xml:space="preserve">https://doi.org/10.1111/1365-2656.12290</w:t>
        </w:r>
      </w:hyperlink>
      <w:r>
        <w:t xml:space="preserve">.</w:t>
      </w:r>
    </w:p>
    <w:bookmarkEnd w:id="109"/>
    <w:bookmarkStart w:id="111" w:name="ref-williams2014"/>
    <w:p>
      <w:pPr>
        <w:pStyle w:val="Bibliography"/>
      </w:pPr>
      <w:r>
        <w:t xml:space="preserve">Williams, Cory T., Kathryn Wilsterman, Amanda D. Kelley, André R. Breton, Herbert Stark, Murray M. Humphries, Andrew G. McAdam, Brian M. Barnes, Stan Boutin, and C. Loren Buck. 2014.</w:t>
      </w:r>
      <w:r>
        <w:t xml:space="preserve"> </w:t>
      </w:r>
      <w:r>
        <w:t xml:space="preserve">“Light Loggers Reveal Weather-Driven Changes in the Daily Activity Patterns of Arboreal and Semifossorial Rodents.”</w:t>
      </w:r>
      <w:r>
        <w:t xml:space="preserve"> </w:t>
      </w:r>
      <w:r>
        <w:rPr>
          <w:iCs/>
          <w:i/>
        </w:rPr>
        <w:t xml:space="preserve">Journal of Mammalogy</w:t>
      </w:r>
      <w:r>
        <w:t xml:space="preserve"> </w:t>
      </w:r>
      <w:r>
        <w:t xml:space="preserve">95 (6): 1230–39.</w:t>
      </w:r>
      <w:r>
        <w:t xml:space="preserve"> </w:t>
      </w:r>
      <w:hyperlink r:id="rId110">
        <w:r>
          <w:rPr>
            <w:rStyle w:val="InternetLink"/>
          </w:rPr>
          <w:t xml:space="preserve">https://doi.org/10.1644/14-MAMM-A-062</w:t>
        </w:r>
      </w:hyperlink>
      <w:r>
        <w:t xml:space="preserve">.</w:t>
      </w:r>
    </w:p>
    <w:bookmarkEnd w:id="111"/>
    <w:bookmarkStart w:id="113" w:name="ref-williams2016"/>
    <w:p>
      <w:pPr>
        <w:pStyle w:val="Bibliography"/>
      </w:pPr>
      <w:r>
        <w:t xml:space="preserve">Williams, Cory T., Kathryn Wilsterman, Victor Zhang, Jeanette Moore, Brian M. Barnes, and C. Loren Buck. 2016.</w:t>
      </w:r>
      <w:r>
        <w:t xml:space="preserve"> </w:t>
      </w:r>
      <w:r>
        <w:t xml:space="preserve">“The Secret Life of Ground Squirrels: Accelerometry Reveals Sex-Dependent Plasticity in Above-Ground Activity.”</w:t>
      </w:r>
      <w:r>
        <w:t xml:space="preserve"> </w:t>
      </w:r>
      <w:r>
        <w:rPr>
          <w:iCs/>
          <w:i/>
        </w:rPr>
        <w:t xml:space="preserve">Royal Society Open Science</w:t>
      </w:r>
      <w:r>
        <w:t xml:space="preserve"> </w:t>
      </w:r>
      <w:r>
        <w:t xml:space="preserve">3 (9): 160404.</w:t>
      </w:r>
      <w:r>
        <w:t xml:space="preserve"> </w:t>
      </w:r>
      <w:hyperlink r:id="rId112">
        <w:r>
          <w:rPr>
            <w:rStyle w:val="InternetLink"/>
          </w:rPr>
          <w:t xml:space="preserve">https://doi.org/10.1098/rsos.160404</w:t>
        </w:r>
      </w:hyperlink>
      <w:r>
        <w:t xml:space="preserve">.</w:t>
      </w:r>
    </w:p>
    <w:bookmarkEnd w:id="113"/>
    <w:bookmarkStart w:id="115" w:name="ref-wilson2008"/>
    <w:p>
      <w:pPr>
        <w:pStyle w:val="Bibliography"/>
      </w:pPr>
      <w:r>
        <w:t xml:space="preserve">Wilson, Rory P., Craig R. White, Flavio Quintana, Lewis G. Halsey, Nikolai Liebsch, Graham R. Martin, and Patrick J. Butler. 2008.</w:t>
      </w:r>
      <w:r>
        <w:t xml:space="preserve"> </w:t>
      </w:r>
      <w:r>
        <w:t xml:space="preserve">“Moving Towards Acceleration for Estimates of Activity-Specific Metabolic Rate in Free-Living Animals: The Case of the Cormorant.”</w:t>
      </w:r>
      <w:r>
        <w:t xml:space="preserve"> </w:t>
      </w:r>
      <w:r>
        <w:rPr>
          <w:iCs/>
          <w:i/>
        </w:rPr>
        <w:t xml:space="preserve">Journal of Animal Ecology</w:t>
      </w:r>
      <w:r>
        <w:t xml:space="preserve">, November, 1081–90.</w:t>
      </w:r>
      <w:r>
        <w:t xml:space="preserve"> </w:t>
      </w:r>
      <w:hyperlink r:id="rId114">
        <w:r>
          <w:rPr>
            <w:rStyle w:val="InternetLink"/>
          </w:rPr>
          <w:t xml:space="preserve">https://doi.org/10.1111/j.1365-2656.2006.01127.x@10.1111/(ISSN)1365-2656.BIOTEL</w:t>
        </w:r>
      </w:hyperlink>
      <w:r>
        <w:t xml:space="preserve">.</w:t>
      </w:r>
    </w:p>
    <w:bookmarkEnd w:id="115"/>
    <w:bookmarkStart w:id="116" w:name="ref-zucchini2016"/>
    <w:p>
      <w:pPr>
        <w:pStyle w:val="Bibliography"/>
      </w:pPr>
      <w:r>
        <w:t xml:space="preserve">Zucchini, Walter, Iain MacDonald, and Roland Langrock. 2016.</w:t>
      </w:r>
      <w:r>
        <w:t xml:space="preserve"> </w:t>
      </w:r>
      <w:r>
        <w:rPr>
          <w:iCs/>
          <w:i/>
        </w:rPr>
        <w:t xml:space="preserve">Hidden Markov Models for Time Series - An Introduction Using R</w:t>
      </w:r>
      <w:r>
        <w:t xml:space="preserve">. Vol. 43.</w:t>
      </w:r>
    </w:p>
    <w:bookmarkEnd w:id="116"/>
    <w:bookmarkEnd w:id="117"/>
    <w:bookmarkEnd w:id="118"/>
    <w:sectPr>
      <w:footnotePr>
        <w:numFmt w:val="decimal"/>
      </w:footnotePr>
      <w:type w:val="nextPage"/>
      <w:pgSz w:h="15840" w:w="12240"/>
      <w:pgMar w:bottom="1440" w:footer="0" w:gutter="0" w:header="0" w:left="1440" w:right="1440" w:top="1440"/>
      <w:pgNumType w:fmt="decimal"/>
      <w:formProt w:val="false"/>
      <w:textDirection w:val="lrTb"/>
      <w:docGrid w:charSpace="0" w:linePitch="326"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 w:name="OpenSymbol">
    <w:altName w:val="Arial Unicode MS"/>
    <w:charset w:val="01"/>
    <w:family w:val="auto"/>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pStyle w:val="Heading2"/>
      <w:numFmt w:val="none"/>
      <w:suff w:val="nothing"/>
      <w:lvlText w:val=""/>
      <w:lvlJc w:val="left"/>
      <w:pPr>
        <w:tabs>
          <w:tab w:pos="0" w:val="num"/>
        </w:tabs>
        <w:ind w:hanging="360" w:left="36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2">
    <w:lvl w:ilvl="0">
      <w:start w:val="1"/>
      <w:numFmt w:val="bullet"/>
      <w:lvlText w:val=""/>
      <w:lvlJc w:val="left"/>
      <w:pPr>
        <w:tabs>
          <w:tab w:pos="720" w:val="num"/>
        </w:tabs>
        <w:ind w:hanging="360" w:left="720"/>
      </w:pPr>
      <w:rPr>
        <w:rFonts w:ascii="Symbol" w:cs="Symbol" w:hAnsi="Symbo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29"/>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autoRedefine/>
    <w:uiPriority w:val="9"/>
    <w:qFormat/>
    <w:rsid w:val="00c41672"/>
    <w:pPr>
      <w:numPr>
        <w:ilvl w:val="0"/>
        <w:numId w:val="0"/>
      </w:numPr>
      <w:spacing w:after="369" w:before="340"/>
    </w:pPr>
    <w:rPr>
      <w:b/>
      <w:sz w:val="32"/>
      <w:szCs w:val="32"/>
    </w:rPr>
  </w:style>
  <w:style w:styleId="Heading2" w:type="paragraph">
    <w:name w:val="Heading 2"/>
    <w:basedOn w:val="Normal"/>
    <w:next w:val="TextBody"/>
    <w:autoRedefine/>
    <w:uiPriority w:val="9"/>
    <w:unhideWhenUsed/>
    <w:qFormat/>
    <w:rsid w:val="003d6a2f"/>
    <w:pPr>
      <w:keepNext w:val="true"/>
      <w:keepLines/>
      <w:numPr>
        <w:ilvl w:val="0"/>
        <w:numId w:val="1"/>
      </w:numPr>
      <w:spacing w:after="346" w:before="369"/>
      <w:jc w:val="left"/>
      <w:outlineLvl w:val="0"/>
    </w:pPr>
    <w:rPr>
      <w:rFonts w:ascii="Garamond" w:cs="" w:cstheme="majorBidi" w:eastAsia="" w:eastAsiaTheme="majorEastAsia" w:hAnsi="Garamond"/>
      <w:b/>
      <w:bCs/>
      <w:sz w:val="28"/>
      <w:szCs w:val="28"/>
    </w:rPr>
  </w:style>
  <w:style w:styleId="Heading3" w:type="paragraph">
    <w:name w:val="Heading 3"/>
    <w:basedOn w:val="Normal"/>
    <w:next w:val="TextBody"/>
    <w:uiPriority w:val="9"/>
    <w:unhideWhenUsed/>
    <w:qFormat/>
    <w:rsid w:val="00c41672"/>
    <w:pPr>
      <w:spacing w:after="369" w:before="340"/>
      <w:outlineLvl w:val="1"/>
    </w:pPr>
    <w:rPr>
      <w:rFonts w:ascii="Garamond" w:hAnsi="Garamond"/>
      <w:b/>
      <w:i w:val="false"/>
      <w:sz w:val="24"/>
      <w:szCs w:val="24"/>
    </w:rPr>
  </w:style>
  <w:style w:styleId="Heading4" w:type="paragraph">
    <w:name w:val="Heading 4"/>
    <w:basedOn w:val="Normal"/>
    <w:next w:val="TextBody"/>
    <w:uiPriority w:val="9"/>
    <w:unhideWhenUsed/>
    <w:qFormat/>
    <w:rsid w:val="00cc2101"/>
    <w:pPr>
      <w:keepNext w:val="true"/>
      <w:keepLines/>
      <w:spacing w:after="340" w:before="369"/>
      <w:ind w:hanging="0"/>
      <w:outlineLvl w:val="3"/>
    </w:pPr>
    <w:rPr>
      <w:rFonts w:ascii="Garamond" w:cs="" w:cstheme="majorBidi" w:eastAsia="" w:eastAsiaTheme="majorEastAsia" w:hAnsi="Garamond"/>
      <w:b/>
      <w:bCs/>
      <w:sz w:val="24"/>
    </w:rPr>
  </w:style>
  <w:style w:styleId="Heading5" w:type="paragraph">
    <w:name w:val="Heading 5"/>
    <w:basedOn w:val="Normal"/>
    <w:next w:val="TextBody"/>
    <w:uiPriority w:val="9"/>
    <w:unhideWhenUsed/>
    <w:qFormat/>
    <w:rsid w:val="00cc2101"/>
    <w:pPr>
      <w:keepNext w:val="true"/>
      <w:keepLines/>
      <w:spacing w:after="0" w:before="200"/>
      <w:ind w:hanging="0"/>
      <w:outlineLvl w:val="4"/>
    </w:pPr>
    <w:rPr>
      <w:rFonts w:ascii="Garamond" w:cs="" w:cstheme="majorBidi" w:eastAsia="" w:eastAsiaTheme="majorEastAsia" w:hAnsi="Garamond"/>
      <w:i w:val="false"/>
      <w:iCs/>
      <w:sz w:val="24"/>
    </w:rPr>
  </w:style>
  <w:style w:styleId="Heading6" w:type="paragraph">
    <w:name w:val="Heading 6"/>
    <w:basedOn w:val="Normal"/>
    <w:next w:val="TextBody"/>
    <w:uiPriority w:val="9"/>
    <w:unhideWhenUsed/>
    <w:qFormat/>
    <w:rsid w:val="00cc2101"/>
    <w:pPr>
      <w:keepNext w:val="true"/>
      <w:keepLines/>
      <w:spacing w:after="0" w:before="200"/>
      <w:ind w:hanging="0"/>
      <w:outlineLvl w:val="5"/>
    </w:pPr>
    <w:rPr>
      <w:rFonts w:ascii="Garamond" w:cs="" w:cstheme="majorBidi" w:eastAsia="" w:eastAsiaTheme="majorEastAsia" w:hAnsi="Garamond"/>
      <w:sz w:val="24"/>
    </w:rPr>
  </w:style>
  <w:style w:styleId="Heading7" w:type="paragraph">
    <w:name w:val="Heading 7"/>
    <w:basedOn w:val="Normal"/>
    <w:next w:val="TextBody"/>
    <w:uiPriority w:val="9"/>
    <w:unhideWhenUsed/>
    <w:qFormat/>
    <w:rsid w:val="00cc2101"/>
    <w:pPr>
      <w:keepNext w:val="true"/>
      <w:keepLines/>
      <w:spacing w:after="0" w:before="200"/>
      <w:ind w:hanging="0"/>
      <w:outlineLvl w:val="6"/>
    </w:pPr>
    <w:rPr>
      <w:rFonts w:ascii="Garamond" w:cs="" w:cstheme="majorBidi" w:eastAsia="" w:eastAsiaTheme="majorEastAsia" w:hAnsi="Garamond"/>
      <w:sz w:val="24"/>
    </w:rPr>
  </w:style>
  <w:style w:styleId="Heading8" w:type="paragraph">
    <w:name w:val="Heading 8"/>
    <w:basedOn w:val="Normal"/>
    <w:next w:val="TextBody"/>
    <w:uiPriority w:val="9"/>
    <w:unhideWhenUsed/>
    <w:qFormat/>
    <w:rsid w:val="00cc2101"/>
    <w:pPr>
      <w:keepNext w:val="true"/>
      <w:keepLines/>
      <w:spacing w:after="0" w:before="200"/>
      <w:ind w:hanging="0"/>
      <w:outlineLvl w:val="7"/>
    </w:pPr>
    <w:rPr>
      <w:rFonts w:ascii="Garamond" w:cs="" w:cstheme="majorBidi" w:eastAsia="" w:eastAsiaTheme="majorEastAsia" w:hAnsi="Garamond"/>
    </w:rPr>
  </w:style>
  <w:style w:styleId="Heading9" w:type="paragraph">
    <w:name w:val="Heading 9"/>
    <w:basedOn w:val="Normal"/>
    <w:next w:val="TextBody"/>
    <w:uiPriority w:val="9"/>
    <w:unhideWhenUsed/>
    <w:qFormat/>
    <w:rsid w:val="00cc2101"/>
    <w:pPr>
      <w:keepNext w:val="true"/>
      <w:keepLines/>
      <w:spacing w:after="0" w:before="200"/>
      <w:ind w:hanging="0"/>
      <w:outlineLvl w:val="8"/>
    </w:pPr>
    <w:rPr>
      <w:rFonts w:ascii="Garamond" w:cs="" w:cstheme="majorBidi" w:eastAsia="" w:eastAsiaTheme="majorEastAsia" w:hAnsi="Garamond"/>
    </w:rPr>
  </w:style>
  <w:style w:default="1" w:styleId="DefaultParagraphFont" w:type="character">
    <w:name w:val="Default Paragraph Font"/>
    <w:uiPriority w:val="1"/>
    <w:semiHidden/>
    <w:unhideWhenUsed/>
    <w:qFormat/>
    <w:rPr/>
  </w:style>
  <w:style w:customStyle="1" w:styleId="CaptionChar" w:type="character">
    <w:name w:val="Caption Char"/>
    <w:basedOn w:val="DefaultParagraphFont"/>
    <w:link w:val="Caption"/>
    <w:qFormat/>
    <w:rPr/>
  </w:style>
  <w:style w:customStyle="1" w:styleId="VerbatimChar" w:type="character">
    <w:name w:val="Verbatim Char"/>
    <w:basedOn w:val="CaptionChar"/>
    <w:qFormat/>
    <w:rPr>
      <w:rFonts w:ascii="Consolas" w:hAnsi="Consolas"/>
      <w:sz w:val="22"/>
    </w:rPr>
  </w:style>
  <w:style w:styleId="FootnoteCharacters" w:type="character">
    <w:name w:val="Footnote Characters"/>
    <w:basedOn w:val="CaptionChar"/>
    <w:qFormat/>
    <w:rPr>
      <w:vertAlign w:val="superscript"/>
    </w:rPr>
  </w:style>
  <w:style w:styleId="FootnoteAnchor" w:type="character">
    <w:name w:val="Footnote Anchor"/>
    <w:rPr>
      <w:vertAlign w:val="superscript"/>
    </w:rPr>
  </w:style>
  <w:style w:styleId="InternetLink" w:type="character">
    <w:name w:val="Hyperlink"/>
    <w:basedOn w:val="CaptionChar"/>
    <w:rPr>
      <w:color w:themeColor="accent1" w:val="4F81BD"/>
    </w:rPr>
  </w:style>
  <w:style w:customStyle="1" w:styleId="BodyTextChar" w:type="character">
    <w:name w:val="Body Text Char"/>
    <w:basedOn w:val="DefaultParagraphFont"/>
    <w:link w:val="BodyText"/>
    <w:qFormat/>
    <w:rsid w:val="00c06b94"/>
    <w:rPr>
      <w:rFonts w:ascii="Garamond" w:hAnsi="Garamond"/>
    </w:rPr>
  </w:style>
  <w:style w:styleId="VisitedInternetLink" w:type="character">
    <w:name w:val="FollowedHyperlink"/>
    <w:basedOn w:val="DefaultParagraphFont"/>
    <w:semiHidden/>
    <w:unhideWhenUsed/>
    <w:rsid w:val="00a4342f"/>
    <w:rPr>
      <w:color w:themeColor="followedHyperlink" w:val="800080"/>
      <w:u w:val="single"/>
    </w:rPr>
  </w:style>
  <w:style w:styleId="Linenumber" w:type="character">
    <w:name w:val="line number"/>
    <w:basedOn w:val="DefaultParagraphFont"/>
    <w:semiHidden/>
    <w:unhideWhenUsed/>
    <w:qFormat/>
    <w:rsid w:val="005c1159"/>
    <w:rPr/>
  </w:style>
  <w:style w:styleId="LineNumbering" w:type="character">
    <w:name w:val="Line Numbering"/>
    <w:rPr/>
  </w:style>
  <w:style w:styleId="Bullets" w:type="character">
    <w:name w:val="Bullets"/>
    <w:qFormat/>
    <w:rPr>
      <w:rFonts w:ascii="OpenSymbol" w:cs="OpenSymbol" w:eastAsia="OpenSymbol" w:hAnsi="OpenSymbol"/>
    </w:rPr>
  </w:style>
  <w:style w:styleId="EndnoteAnchor" w:type="character">
    <w:name w:val="Endnote Anchor"/>
    <w:rPr>
      <w:vertAlign w:val="superscript"/>
    </w:rPr>
  </w:style>
  <w:style w:styleId="EndnoteCharacters" w:type="character">
    <w:name w:val="Endnote Characters"/>
    <w:qFormat/>
    <w:rPr/>
  </w:style>
  <w:style w:styleId="NumberingSymbols" w:type="character">
    <w:name w:val="Numbering Symbols"/>
    <w:qFormat/>
    <w:rPr/>
  </w:style>
  <w:style w:styleId="Heading" w:type="paragraph">
    <w:name w:val="Heading"/>
    <w:basedOn w:val="Normal"/>
    <w:next w:val="TextBody"/>
    <w:qFormat/>
    <w:pPr>
      <w:keepNext w:val="true"/>
      <w:spacing w:after="120" w:before="240"/>
    </w:pPr>
    <w:rPr>
      <w:rFonts w:ascii="Liberation Sans" w:cs="FreeSans" w:eastAsia="Microsoft YaHei" w:hAnsi="Liberation Sans"/>
      <w:sz w:val="28"/>
      <w:szCs w:val="28"/>
    </w:rPr>
  </w:style>
  <w:style w:styleId="TextBody" w:type="paragraph">
    <w:name w:val="Body Text"/>
    <w:basedOn w:val="Normal"/>
    <w:link w:val="BodyTextChar"/>
    <w:qFormat/>
    <w:rsid w:val="00c06b94"/>
    <w:pPr>
      <w:spacing w:after="120" w:before="120" w:line="360" w:lineRule="auto"/>
      <w:ind w:firstLine="567"/>
      <w:jc w:val="both"/>
    </w:pPr>
    <w:rPr>
      <w:rFonts w:ascii="Garamond" w:hAnsi="Garamond"/>
    </w:rPr>
  </w:style>
  <w:style w:styleId="List" w:type="paragraph">
    <w:name w:val="List"/>
    <w:basedOn w:val="TextBody"/>
    <w:pPr/>
    <w:rPr>
      <w:rFonts w:cs="FreeSans"/>
    </w:rPr>
  </w:style>
  <w:style w:styleId="Caption" w:type="paragraph">
    <w:name w:val="Caption"/>
    <w:basedOn w:val="Normal"/>
    <w:qFormat/>
    <w:pPr>
      <w:suppressLineNumbers/>
      <w:spacing w:after="120" w:before="120"/>
    </w:pPr>
    <w:rPr>
      <w:rFonts w:cs="FreeSans"/>
      <w:i/>
      <w:iCs/>
      <w:sz w:val="24"/>
      <w:szCs w:val="24"/>
    </w:rPr>
  </w:style>
  <w:style w:styleId="Index" w:type="paragraph">
    <w:name w:val="Index"/>
    <w:basedOn w:val="Normal"/>
    <w:qFormat/>
    <w:pPr>
      <w:suppressLineNumbers/>
    </w:pPr>
    <w:rPr>
      <w:rFonts w:cs="FreeSans"/>
    </w:rPr>
  </w:style>
  <w:style w:customStyle="1" w:styleId="FirstParagraph" w:type="paragraph">
    <w:name w:val="First Paragraph"/>
    <w:basedOn w:val="TextBody"/>
    <w:next w:val="TextBody"/>
    <w:qFormat/>
    <w:rsid w:val="00b00c79"/>
    <w:pPr/>
    <w:rPr/>
  </w:style>
  <w:style w:customStyle="1" w:styleId="Compact" w:type="paragraph">
    <w:name w:val="Compact"/>
    <w:basedOn w:val="TextBody"/>
    <w:qFormat/>
    <w:rsid w:val="00f96615"/>
    <w:pPr>
      <w:spacing w:after="40" w:before="40"/>
      <w:jc w:val="left"/>
    </w:pPr>
    <w:rPr/>
  </w:style>
  <w:style w:styleId="Title" w:type="paragraph">
    <w:name w:val="Title"/>
    <w:basedOn w:val="Normal"/>
    <w:next w:val="TextBody"/>
    <w:qFormat/>
    <w:rsid w:val="006d2f10"/>
    <w:pPr>
      <w:keepNext w:val="true"/>
      <w:keepLines/>
      <w:spacing w:after="0" w:before="480"/>
      <w:jc w:val="center"/>
    </w:pPr>
    <w:rPr>
      <w:rFonts w:ascii="Garamond" w:cs="" w:cstheme="majorBidi" w:eastAsia="" w:eastAsiaTheme="majorEastAsia" w:hAnsi="Garamond"/>
      <w:b/>
      <w:bCs/>
      <w:sz w:val="36"/>
      <w:szCs w:val="36"/>
    </w:rPr>
  </w:style>
  <w:style w:styleId="Subtitle" w:type="paragraph">
    <w:name w:val="Subtitle"/>
    <w:basedOn w:val="Title"/>
    <w:next w:val="TextBody"/>
    <w:qFormat/>
    <w:rsid w:val="006d2f10"/>
    <w:pPr>
      <w:spacing w:after="240" w:before="0"/>
    </w:pPr>
    <w:rPr>
      <w:sz w:val="30"/>
      <w:szCs w:val="30"/>
    </w:rPr>
  </w:style>
  <w:style w:customStyle="1" w:styleId="Author" w:type="paragraph">
    <w:name w:val="Author"/>
    <w:next w:val="TextBody"/>
    <w:qFormat/>
    <w:rsid w:val="00cc2101"/>
    <w:pPr>
      <w:keepNext w:val="true"/>
      <w:keepLines/>
      <w:widowControl/>
      <w:suppressAutoHyphens w:val="true"/>
      <w:bidi w:val="0"/>
      <w:spacing w:after="200" w:before="0"/>
      <w:jc w:val="center"/>
    </w:pPr>
    <w:rPr>
      <w:rFonts w:ascii="Garamond" w:cs="" w:cstheme="minorBidi" w:eastAsia="Cambria" w:eastAsiaTheme="minorHAnsi" w:hAnsi="Garamond"/>
      <w:color w:val="auto"/>
      <w:kern w:val="0"/>
      <w:sz w:val="24"/>
      <w:szCs w:val="24"/>
      <w:lang w:bidi="ar-SA" w:eastAsia="en-US" w:val="en-US"/>
    </w:rPr>
  </w:style>
  <w:style w:styleId="Date" w:type="paragraph">
    <w:name w:val="Date"/>
    <w:next w:val="TextBody"/>
    <w:qFormat/>
    <w:rsid w:val="00cc2101"/>
    <w:pPr>
      <w:keepNext w:val="true"/>
      <w:keepLines/>
      <w:widowControl/>
      <w:suppressAutoHyphens w:val="true"/>
      <w:bidi w:val="0"/>
      <w:spacing w:after="200" w:before="0"/>
      <w:jc w:val="center"/>
    </w:pPr>
    <w:rPr>
      <w:rFonts w:ascii="Garamond" w:cs="" w:cstheme="minorBidi" w:eastAsia="Cambria" w:eastAsiaTheme="minorHAnsi" w:hAnsi="Garamond"/>
      <w:color w:val="auto"/>
      <w:kern w:val="0"/>
      <w:sz w:val="24"/>
      <w:szCs w:val="24"/>
      <w:lang w:bidi="ar-SA" w:eastAsia="en-US" w:val="en-US"/>
    </w:rPr>
  </w:style>
  <w:style w:customStyle="1" w:styleId="Abstract" w:type="paragraph">
    <w:name w:val="Abstract"/>
    <w:basedOn w:val="Normal"/>
    <w:next w:val="TextBody"/>
    <w:qFormat/>
    <w:rsid w:val="00cc2101"/>
    <w:pPr>
      <w:keepNext w:val="true"/>
      <w:keepLines/>
      <w:spacing w:after="300" w:before="300"/>
    </w:pPr>
    <w:rPr>
      <w:rFonts w:ascii="Garamond" w:hAnsi="Garamond"/>
      <w:sz w:val="20"/>
      <w:szCs w:val="20"/>
    </w:rPr>
  </w:style>
  <w:style w:styleId="Bibliography" w:type="paragraph">
    <w:name w:val="Bibliography"/>
    <w:basedOn w:val="Normal"/>
    <w:qFormat/>
    <w:rsid w:val="003761c7"/>
    <w:pPr/>
    <w:rPr>
      <w:rFonts w:ascii="Garamond" w:hAnsi="Garamond"/>
      <w:sz w:val="22"/>
    </w:rPr>
  </w:style>
  <w:style w:styleId="BlockText" w:type="paragraph">
    <w:name w:val="Block Text"/>
    <w:basedOn w:val="TextBody"/>
    <w:next w:val="TextBody"/>
    <w:uiPriority w:val="9"/>
    <w:unhideWhenUsed/>
    <w:qFormat/>
    <w:rsid w:val="00cc2101"/>
    <w:pPr>
      <w:spacing w:after="100" w:before="10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rsid w:val="00cc2101"/>
    <w:pPr>
      <w:keepNext w:val="true"/>
      <w:keepLines/>
      <w:spacing w:after="0" w:before="0"/>
    </w:pPr>
    <w:rPr>
      <w:rFonts w:ascii="Garamond" w:hAnsi="Garamond"/>
      <w:b/>
    </w:rPr>
  </w:style>
  <w:style w:customStyle="1" w:styleId="Definition" w:type="paragraph">
    <w:name w:val="Definition"/>
    <w:basedOn w:val="Normal"/>
    <w:qFormat/>
    <w:rsid w:val="00cc2101"/>
    <w:pPr/>
    <w:rPr>
      <w:rFonts w:ascii="Garamond" w:hAnsi="Garamond"/>
    </w:rPr>
  </w:style>
  <w:style w:styleId="Caption1" w:type="paragraph">
    <w:name w:val="caption"/>
    <w:basedOn w:val="Normal"/>
    <w:link w:val="CaptionChar"/>
    <w:qFormat/>
    <w:pPr>
      <w:spacing w:after="120" w:before="0"/>
    </w:pPr>
    <w:rPr>
      <w:i/>
    </w:rPr>
  </w:style>
  <w:style w:customStyle="1" w:styleId="TableCaption" w:type="paragraph">
    <w:name w:val="Table Caption"/>
    <w:basedOn w:val="Caption1"/>
    <w:qFormat/>
    <w:rsid w:val="00a4342f"/>
    <w:pPr>
      <w:keepNext w:val="true"/>
      <w:jc w:val="center"/>
    </w:pPr>
    <w:rPr>
      <w:rFonts w:ascii="Garamond" w:hAnsi="Garamond"/>
    </w:rPr>
  </w:style>
  <w:style w:customStyle="1" w:styleId="ImageCaption" w:type="paragraph">
    <w:name w:val="Image Caption"/>
    <w:basedOn w:val="Caption1"/>
    <w:qFormat/>
    <w:rsid w:val="00cc2101"/>
    <w:pPr/>
    <w:rPr>
      <w:rFonts w:ascii="Garamond" w:hAnsi="Garamond"/>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Heading10" w:type="paragraph">
    <w:name w:val="Heading 10"/>
    <w:basedOn w:val="Heading"/>
    <w:next w:val="TextBody"/>
    <w:qFormat/>
    <w:pPr>
      <w:spacing w:after="60" w:before="60"/>
      <w:outlineLvl w:val="8"/>
    </w:pPr>
    <w:rPr>
      <w:b/>
      <w:bCs/>
      <w:sz w:val="21"/>
      <w:szCs w:val="21"/>
    </w:rPr>
  </w:style>
  <w:style w:styleId="Bullet" w:type="paragraph">
    <w:name w:val="Bullet"/>
    <w:basedOn w:val="Definition"/>
    <w:qFormat/>
    <w:pPr/>
    <w:rPr/>
  </w:style>
  <w:style w:styleId="ComplimentaryClose" w:type="paragraph">
    <w:name w:val="Salutation"/>
    <w:basedOn w:val="Normal"/>
    <w:pPr>
      <w:suppressLineNumbers/>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Header" w:type="paragraph">
    <w:name w:val="Header"/>
    <w:basedOn w:val="HeaderandFooter"/>
    <w:pPr>
      <w:suppressLineNumbers/>
    </w:pPr>
    <w:rPr/>
  </w:style>
  <w:style w:default="1" w:styleId="NoList" w:type="numbering">
    <w:name w:val="No List"/>
    <w:uiPriority w:val="99"/>
    <w:semiHidden/>
    <w:unhideWhenUsed/>
    <w:qFormat/>
  </w:style>
  <w:style w:default="1" w:styleId="TableNormal" w:type="table">
    <w:name w:val="Normal Table"/>
    <w:uiPriority w:val="99"/>
    <w:semiHidden/>
    <w:unhideWhenUsed/>
    <w:tblPr>
      <w:tblCellMar>
        <w:top w:type="dxa" w:w="0"/>
        <w:left w:type="dxa" w:w="108"/>
        <w:bottom w:type="dxa" w:w="0"/>
        <w:right w:type="dxa" w:w="108"/>
      </w:tblCellMar>
    </w:tblPr>
  </w:style>
  <w:style w:customStyle="1" w:styleId="Table" w:type="table">
    <w:name w:val="Table"/>
    <w:semiHidden/>
    <w:unhideWhenUsed/>
    <w:qFormat/>
    <w:tblPr>
      <w:tblCellMar>
        <w:top w:type="dxa" w:w="0"/>
        <w:left w:type="dxa" w:w="108"/>
        <w:bottom w:type="dxa" w:w="0"/>
        <w:right w:type="dxa" w:w="108"/>
      </w:tblCellMar>
    </w:tblPr>
  </w:style>
  <w:style w:styleId="TableGrid" w:type="table">
    <w:name w:val="Table Grid"/>
    <w:basedOn w:val="TableNormal"/>
    <w:rsid w:val="00a5445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ba2ec8"/>
    <w:pPr>
      <w:spacing w:after="0"/>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GridTable1Light" w:type="table">
    <w:name w:val="Grid Table 1 Light"/>
    <w:basedOn w:val="TableNormal"/>
    <w:rsid w:val="00ba2ec8"/>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GridTable2" w:type="table">
    <w:name w:val="Grid Table 2"/>
    <w:basedOn w:val="TableNormal"/>
    <w:rsid w:val="00ba2ec8"/>
    <w:pPr>
      <w:spacing w:after="0"/>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PlainTable2" w:type="table">
    <w:name w:val="Plain Table 2"/>
    <w:basedOn w:val="TableNormal"/>
    <w:rsid w:val="00ba2ec8"/>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PlainTable1" w:type="table">
    <w:name w:val="Plain Table 1"/>
    <w:basedOn w:val="TableNormal"/>
    <w:rsid w:val="0089359b"/>
    <w:pPr>
      <w:spacing w:after="0"/>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29" Target="media/rId29.pdf"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hyperlink" Id="rId63" Target="https://CRAN.R-project.org/package=maptools" TargetMode="External" /><Relationship Type="http://schemas.openxmlformats.org/officeDocument/2006/relationships/hyperlink" Id="rId73" Target="https://CRAN.R-project.org/package=pracma" TargetMode="External" /><Relationship Type="http://schemas.openxmlformats.org/officeDocument/2006/relationships/hyperlink" Id="rId90" Target="https://doi.org/10.1002/ece3.4740" TargetMode="External" /><Relationship Type="http://schemas.openxmlformats.org/officeDocument/2006/relationships/hyperlink" Id="rId94" Target="https://doi.org/10.1007/s13253-017-0283-8" TargetMode="External" /><Relationship Type="http://schemas.openxmlformats.org/officeDocument/2006/relationships/hyperlink" Id="rId68" Target="https://doi.org/10.1016/S0076-6879(08)03806-8" TargetMode="External" /><Relationship Type="http://schemas.openxmlformats.org/officeDocument/2006/relationships/hyperlink" Id="rId65" Target="https://doi.org/10.1016/j.dendro.2008.01.002" TargetMode="External" /><Relationship Type="http://schemas.openxmlformats.org/officeDocument/2006/relationships/hyperlink" Id="rId57" Target="https://doi.org/10.1016/j.jaridenv.2008.09.028" TargetMode="External" /><Relationship Type="http://schemas.openxmlformats.org/officeDocument/2006/relationships/hyperlink" Id="rId70" Target="https://doi.org/10.1016/j.jaridenv.2011.04.034" TargetMode="External" /><Relationship Type="http://schemas.openxmlformats.org/officeDocument/2006/relationships/hyperlink" Id="rId100" Target="https://doi.org/10.1076/brhm.30.2.178.1422" TargetMode="External" /><Relationship Type="http://schemas.openxmlformats.org/officeDocument/2006/relationships/hyperlink" Id="rId106" Target="https://doi.org/10.1080/07420520802686331" TargetMode="External" /><Relationship Type="http://schemas.openxmlformats.org/officeDocument/2006/relationships/hyperlink" Id="rId75" Target="https://doi.org/10.1093/conphys/coz044" TargetMode="External" /><Relationship Type="http://schemas.openxmlformats.org/officeDocument/2006/relationships/hyperlink" Id="rId112" Target="https://doi.org/10.1098/rsos.160404" TargetMode="External" /><Relationship Type="http://schemas.openxmlformats.org/officeDocument/2006/relationships/hyperlink" Id="rId108" Target="https://doi.org/10.1111/1365-2656.12290" TargetMode="External" /><Relationship Type="http://schemas.openxmlformats.org/officeDocument/2006/relationships/hyperlink" Id="rId81" Target="https://doi.org/10.1111/2041-210X.12657" TargetMode="External" /><Relationship Type="http://schemas.openxmlformats.org/officeDocument/2006/relationships/hyperlink" Id="rId84" Target="https://doi.org/10.1111/ele.13610" TargetMode="External" /><Relationship Type="http://schemas.openxmlformats.org/officeDocument/2006/relationships/hyperlink" Id="rId114" Target="https://doi.org/10.1111/j.1365-2656.2006.01127.x@10.1111/(ISSN)1365-2656.BIOTEL" TargetMode="External" /><Relationship Type="http://schemas.openxmlformats.org/officeDocument/2006/relationships/hyperlink" Id="rId92" Target="https://doi.org/10.1111/j.1365-2656.2009.01583.x" TargetMode="External" /><Relationship Type="http://schemas.openxmlformats.org/officeDocument/2006/relationships/hyperlink" Id="rId61" Target="https://doi.org/10.1111/j.1570-7458.2011.01111.x" TargetMode="External" /><Relationship Type="http://schemas.openxmlformats.org/officeDocument/2006/relationships/hyperlink" Id="rId79" Target="https://doi.org/10.1177/0748730417709105" TargetMode="External" /><Relationship Type="http://schemas.openxmlformats.org/officeDocument/2006/relationships/hyperlink" Id="rId88" Target="https://doi.org/10.1186/s40462-018-0127-3" TargetMode="External" /><Relationship Type="http://schemas.openxmlformats.org/officeDocument/2006/relationships/hyperlink" Id="rId96" Target="https://doi.org/10.1371/journal.pone.0031187" TargetMode="External" /><Relationship Type="http://schemas.openxmlformats.org/officeDocument/2006/relationships/hyperlink" Id="rId104" Target="https://doi.org/10.1371/journal.pone.0037918" TargetMode="External" /><Relationship Type="http://schemas.openxmlformats.org/officeDocument/2006/relationships/hyperlink" Id="rId110" Target="https://doi.org/10.1644/14-MAMM-A-062" TargetMode="External" /><Relationship Type="http://schemas.openxmlformats.org/officeDocument/2006/relationships/hyperlink" Id="rId77" Target="https://doi.org/10.1890/11-2241.1" TargetMode="External" /><Relationship Type="http://schemas.openxmlformats.org/officeDocument/2006/relationships/hyperlink" Id="rId102" Target="https://doi.org/10.3354/ab00104" TargetMode="External" /><Relationship Type="http://schemas.openxmlformats.org/officeDocument/2006/relationships/hyperlink" Id="rId59" Target="https://doi.org/10.7717/peerj.2559" TargetMode="External" /><Relationship Type="http://schemas.openxmlformats.org/officeDocument/2006/relationships/hyperlink" Id="rId98"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63" Target="https://CRAN.R-project.org/package=maptools" TargetMode="External" /><Relationship Type="http://schemas.openxmlformats.org/officeDocument/2006/relationships/hyperlink" Id="rId73" Target="https://CRAN.R-project.org/package=pracma" TargetMode="External" /><Relationship Type="http://schemas.openxmlformats.org/officeDocument/2006/relationships/hyperlink" Id="rId90" Target="https://doi.org/10.1002/ece3.4740" TargetMode="External" /><Relationship Type="http://schemas.openxmlformats.org/officeDocument/2006/relationships/hyperlink" Id="rId94" Target="https://doi.org/10.1007/s13253-017-0283-8" TargetMode="External" /><Relationship Type="http://schemas.openxmlformats.org/officeDocument/2006/relationships/hyperlink" Id="rId68" Target="https://doi.org/10.1016/S0076-6879(08)03806-8" TargetMode="External" /><Relationship Type="http://schemas.openxmlformats.org/officeDocument/2006/relationships/hyperlink" Id="rId65" Target="https://doi.org/10.1016/j.dendro.2008.01.002" TargetMode="External" /><Relationship Type="http://schemas.openxmlformats.org/officeDocument/2006/relationships/hyperlink" Id="rId57" Target="https://doi.org/10.1016/j.jaridenv.2008.09.028" TargetMode="External" /><Relationship Type="http://schemas.openxmlformats.org/officeDocument/2006/relationships/hyperlink" Id="rId70" Target="https://doi.org/10.1016/j.jaridenv.2011.04.034" TargetMode="External" /><Relationship Type="http://schemas.openxmlformats.org/officeDocument/2006/relationships/hyperlink" Id="rId100" Target="https://doi.org/10.1076/brhm.30.2.178.1422" TargetMode="External" /><Relationship Type="http://schemas.openxmlformats.org/officeDocument/2006/relationships/hyperlink" Id="rId106" Target="https://doi.org/10.1080/07420520802686331" TargetMode="External" /><Relationship Type="http://schemas.openxmlformats.org/officeDocument/2006/relationships/hyperlink" Id="rId75" Target="https://doi.org/10.1093/conphys/coz044" TargetMode="External" /><Relationship Type="http://schemas.openxmlformats.org/officeDocument/2006/relationships/hyperlink" Id="rId112" Target="https://doi.org/10.1098/rsos.160404" TargetMode="External" /><Relationship Type="http://schemas.openxmlformats.org/officeDocument/2006/relationships/hyperlink" Id="rId108" Target="https://doi.org/10.1111/1365-2656.12290" TargetMode="External" /><Relationship Type="http://schemas.openxmlformats.org/officeDocument/2006/relationships/hyperlink" Id="rId81" Target="https://doi.org/10.1111/2041-210X.12657" TargetMode="External" /><Relationship Type="http://schemas.openxmlformats.org/officeDocument/2006/relationships/hyperlink" Id="rId84" Target="https://doi.org/10.1111/ele.13610" TargetMode="External" /><Relationship Type="http://schemas.openxmlformats.org/officeDocument/2006/relationships/hyperlink" Id="rId114" Target="https://doi.org/10.1111/j.1365-2656.2006.01127.x@10.1111/(ISSN)1365-2656.BIOTEL" TargetMode="External" /><Relationship Type="http://schemas.openxmlformats.org/officeDocument/2006/relationships/hyperlink" Id="rId92" Target="https://doi.org/10.1111/j.1365-2656.2009.01583.x" TargetMode="External" /><Relationship Type="http://schemas.openxmlformats.org/officeDocument/2006/relationships/hyperlink" Id="rId61" Target="https://doi.org/10.1111/j.1570-7458.2011.01111.x" TargetMode="External" /><Relationship Type="http://schemas.openxmlformats.org/officeDocument/2006/relationships/hyperlink" Id="rId79" Target="https://doi.org/10.1177/0748730417709105" TargetMode="External" /><Relationship Type="http://schemas.openxmlformats.org/officeDocument/2006/relationships/hyperlink" Id="rId88" Target="https://doi.org/10.1186/s40462-018-0127-3" TargetMode="External" /><Relationship Type="http://schemas.openxmlformats.org/officeDocument/2006/relationships/hyperlink" Id="rId96" Target="https://doi.org/10.1371/journal.pone.0031187" TargetMode="External" /><Relationship Type="http://schemas.openxmlformats.org/officeDocument/2006/relationships/hyperlink" Id="rId104" Target="https://doi.org/10.1371/journal.pone.0037918" TargetMode="External" /><Relationship Type="http://schemas.openxmlformats.org/officeDocument/2006/relationships/hyperlink" Id="rId110" Target="https://doi.org/10.1644/14-MAMM-A-062" TargetMode="External" /><Relationship Type="http://schemas.openxmlformats.org/officeDocument/2006/relationships/hyperlink" Id="rId77" Target="https://doi.org/10.1890/11-2241.1" TargetMode="External" /><Relationship Type="http://schemas.openxmlformats.org/officeDocument/2006/relationships/hyperlink" Id="rId102" Target="https://doi.org/10.3354/ab00104" TargetMode="External" /><Relationship Type="http://schemas.openxmlformats.org/officeDocument/2006/relationships/hyperlink" Id="rId59" Target="https://doi.org/10.7717/peerj.2559" TargetMode="External" /><Relationship Type="http://schemas.openxmlformats.org/officeDocument/2006/relationships/hyperlink" Id="rId9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Application>LibreOffice/7.1.1.2$Linux_X86_64 LibreOffice_project/10$Build-2</Application>
  <AppVersion>15.0000</AppVersion>
  <Pages>2</Pages>
  <Words>84</Words>
  <Characters>490</Characters>
  <CharactersWithSpaces>585</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Tese</dc:title>
  <dc:creator/>
  <cp:keywords/>
  <dcterms:created xsi:type="dcterms:W3CDTF">2021-10-15T20:44:24Z</dcterms:created>
  <dcterms:modified xsi:type="dcterms:W3CDTF">2021-10-15T20:44:24Z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10</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output">
    <vt:lpwstr/>
  </property>
  <property fmtid="{D5CDD505-2E9C-101B-9397-08002B2CF9AE}" pid="22" name="site">
    <vt:lpwstr>bookdown::bookdown_site</vt:lpwstr>
  </property>
  <property fmtid="{D5CDD505-2E9C-101B-9397-08002B2CF9AE}" pid="23" name="thanks">
    <vt:lpwstr/>
  </property>
</Properties>
</file>